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9F" w:rsidRPr="0070281B" w:rsidRDefault="004F399F" w:rsidP="004F399F">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Pr>
          <w:rFonts w:ascii="Montserrat" w:eastAsia="Times New Roman" w:hAnsi="Montserrat" w:cs="Arial"/>
          <w:b/>
          <w:bCs/>
          <w:color w:val="CC4331"/>
          <w:kern w:val="36"/>
          <w:sz w:val="50"/>
          <w:szCs w:val="50"/>
          <w:lang w:val="en-US"/>
        </w:rPr>
        <w:t xml:space="preserve">Bài </w:t>
      </w:r>
      <w:r w:rsidR="0086044B">
        <w:rPr>
          <w:rFonts w:ascii="Montserrat" w:eastAsia="Times New Roman" w:hAnsi="Montserrat" w:cs="Arial"/>
          <w:b/>
          <w:bCs/>
          <w:color w:val="CC4331"/>
          <w:kern w:val="36"/>
          <w:sz w:val="50"/>
          <w:szCs w:val="50"/>
        </w:rPr>
        <w:t xml:space="preserve">7 </w:t>
      </w:r>
      <w:bookmarkStart w:id="0" w:name="_GoBack"/>
      <w:bookmarkEnd w:id="0"/>
      <w:r w:rsidRPr="0070281B">
        <w:rPr>
          <w:rFonts w:ascii="Montserrat" w:eastAsia="Times New Roman" w:hAnsi="Montserrat" w:cs="Arial"/>
          <w:b/>
          <w:bCs/>
          <w:color w:val="CC4331"/>
          <w:kern w:val="36"/>
          <w:sz w:val="50"/>
          <w:szCs w:val="50"/>
          <w:lang w:val="en-US"/>
        </w:rPr>
        <w:t xml:space="preserve">: </w:t>
      </w:r>
      <w:r>
        <w:rPr>
          <w:rFonts w:ascii="Montserrat" w:eastAsia="Times New Roman" w:hAnsi="Montserrat" w:cs="Arial"/>
          <w:b/>
          <w:bCs/>
          <w:color w:val="CC4331"/>
          <w:kern w:val="36"/>
          <w:sz w:val="50"/>
          <w:szCs w:val="50"/>
        </w:rPr>
        <w:t xml:space="preserve"> </w:t>
      </w:r>
      <w:r w:rsidRPr="0070281B">
        <w:rPr>
          <w:rFonts w:ascii="Montserrat" w:eastAsia="Times New Roman" w:hAnsi="Montserrat" w:cs="Arial"/>
          <w:b/>
          <w:bCs/>
          <w:color w:val="CC4331"/>
          <w:kern w:val="36"/>
          <w:sz w:val="50"/>
          <w:szCs w:val="50"/>
          <w:lang w:val="en-US"/>
        </w:rPr>
        <w:t>Kiến thức phổ thông về phòng không nhân dân.</w:t>
      </w:r>
    </w:p>
    <w:p w:rsidR="004F399F" w:rsidRDefault="004F399F" w:rsidP="004F399F"/>
    <w:p w:rsidR="004F399F" w:rsidRDefault="004F399F" w:rsidP="004F399F"/>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II. Hoạt động phòng không nhân dân</w:t>
      </w:r>
    </w:p>
    <w:p w:rsidR="004F399F" w:rsidRPr="0070281B" w:rsidRDefault="004F399F" w:rsidP="004F399F">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70281B">
        <w:rPr>
          <w:rFonts w:ascii="Montserrat" w:eastAsia="Times New Roman" w:hAnsi="Montserrat" w:cs="Arial"/>
          <w:b/>
          <w:bCs/>
          <w:color w:val="734332"/>
          <w:sz w:val="2"/>
          <w:szCs w:val="2"/>
          <w:lang w:val="en-US"/>
        </w:rPr>
        <w:fldChar w:fldCharType="begin"/>
      </w:r>
      <w:r w:rsidRPr="0070281B">
        <w:rPr>
          <w:rFonts w:ascii="Montserrat" w:eastAsia="Times New Roman" w:hAnsi="Montserrat" w:cs="Arial"/>
          <w:b/>
          <w:bCs/>
          <w:color w:val="734332"/>
          <w:sz w:val="2"/>
          <w:szCs w:val="2"/>
          <w:lang w:val="en-US"/>
        </w:rPr>
        <w:instrText xml:space="preserve"> HYPERLINK "https://sites.google.com/site/datphamgdqp/gdqpan-kh%E1%BB%91i-11/b%C3%A0i-5-ki%E1%BA%BFn-th%E1%BB%A9c-ph%E1%BB%95-th%C3%B4ng-v%E1%BB%81-ph%C3%B2ng-kh%C3%B4ng-nh%C3%A2n-d%C3%A2n" \l "h.7kz0xk1olvki" </w:instrText>
      </w:r>
      <w:r w:rsidRPr="0070281B">
        <w:rPr>
          <w:rFonts w:ascii="Montserrat" w:eastAsia="Times New Roman" w:hAnsi="Montserrat" w:cs="Arial"/>
          <w:b/>
          <w:bCs/>
          <w:color w:val="734332"/>
          <w:sz w:val="2"/>
          <w:szCs w:val="2"/>
          <w:lang w:val="en-US"/>
        </w:rPr>
        <w:fldChar w:fldCharType="separate"/>
      </w:r>
    </w:p>
    <w:p w:rsidR="004F399F" w:rsidRPr="0070281B" w:rsidRDefault="004F399F" w:rsidP="004F399F">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70281B">
        <w:rPr>
          <w:rFonts w:ascii="Montserrat" w:eastAsia="Times New Roman" w:hAnsi="Montserrat" w:cs="Arial"/>
          <w:b/>
          <w:bCs/>
          <w:color w:val="734332"/>
          <w:sz w:val="2"/>
          <w:szCs w:val="2"/>
          <w:lang w:val="en-US"/>
        </w:rPr>
        <w:fldChar w:fldCharType="end"/>
      </w:r>
    </w:p>
    <w:p w:rsidR="004F399F" w:rsidRPr="0070281B" w:rsidRDefault="004F399F" w:rsidP="004F399F">
      <w:pPr>
        <w:spacing w:after="0" w:line="240" w:lineRule="auto"/>
        <w:jc w:val="both"/>
        <w:textAlignment w:val="baseline"/>
        <w:outlineLvl w:val="2"/>
        <w:rPr>
          <w:rFonts w:ascii="Montserrat" w:eastAsia="Times New Roman" w:hAnsi="Montserrat" w:cs="Arial"/>
          <w:b/>
          <w:bCs/>
          <w:color w:val="734332"/>
          <w:sz w:val="28"/>
          <w:szCs w:val="28"/>
          <w:lang w:val="en-US"/>
        </w:rPr>
      </w:pPr>
      <w:r w:rsidRPr="0070281B">
        <w:rPr>
          <w:rFonts w:ascii="Arial" w:eastAsia="Times New Roman" w:hAnsi="Arial" w:cs="Arial"/>
          <w:b/>
          <w:bCs/>
          <w:color w:val="000000"/>
          <w:sz w:val="28"/>
          <w:szCs w:val="28"/>
          <w:lang w:val="en-US"/>
        </w:rPr>
        <w:t>2.1. Hoạt động phòng không nhân dân thời bình</w:t>
      </w:r>
    </w:p>
    <w:p w:rsidR="004F399F" w:rsidRPr="0070281B" w:rsidRDefault="004F399F" w:rsidP="004F399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a) Thành lập Ban Chỉ đạo và xây dựng kế hoạch phòng không nhân dân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Thành lập Ban Chỉ đạo phòng không nhân dân ở 4 cấp:</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Trung ương;</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Quân khu;</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Tỉnh, thành phố trực thuộc Trung ương (gọi chung là cấp tỉnh);</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Huyện, quận, thị xã, thành phố trực thuộc tỉnh (gọi chung là cấp huyện)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Xây dựng kế hoạch phòng không nhân dân ở cấp quân khu, cấp tỉnh, cấp huyện và cấp xã.</w:t>
      </w:r>
    </w:p>
    <w:p w:rsidR="004F399F" w:rsidRPr="0070281B" w:rsidRDefault="004F399F" w:rsidP="004F399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b) Xây dựng công trình phòng không nhân dân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Xây dựng hệ thống đài quan sát phòng không và hệ thống thông báo, báo động như đài phát thanh, cỏi điện, kẻng, trống, loa,... ở trường học, cơ quan, nhà máy, xí nghiệp, nhà ga, bến xe, các trục đường bộ,... để phát hiện địch tử sớm, từ xa và thông báo, báo động kịp thời.</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Xây dựng công trình phòng tránh, trú ẩn dành cho cá nhân (hầm, hảo, công sự,...) tại nhà ở, nơi làm việc, nơi công cộng, trên đường bộ,... công trình phòng tránh tập thể; công trình cất giấu tài sản. Cần có sơ đồ hệ thống công trình để thuận lợi khi cứu hộ, cứu nạn.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Xây dựng khu vực sơ tán, phân tán, phòng tránh lực lượng, phương tiện ở từng cấp</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Xây dựng công trình ngụy trang, nghi binh.</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Xây dựng hệ thống trận địa phòng tránh, đánh địch tiến công hoả lực đường không (gồm trận địa chính thức và trận địa dự bị).</w:t>
      </w:r>
    </w:p>
    <w:p w:rsidR="004F399F" w:rsidRPr="0070281B" w:rsidRDefault="004F399F" w:rsidP="004F399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c) Tổ chức huấn luyện, diễn tập phòng không nhân dân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huấn luyện các tổ (đội) chuyên môn phòng không nhân dân về kiến thức phổ thông, chuyên môn nghiệp vụ phòng không nhân dân, huấn luyện lực lượng phòng không nhân dân đánh địch tiến công đường không.</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diễn tập phòng không nhân dân hoặc diễn tập phòng không nhân dân kết hợp với diễn tập khu vực phòng thủ của các địa phương. Nội dung diễn tập gồm:</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Diễn tập chỉ huy - tham mưu các cấp;</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trinh sát, thông báo, báo động phòng không.</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nguy trang, sơ tán, phân tán, phòng tránh;</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đánh địch tiến công đường không;</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khắc phục hậu quả.</w:t>
      </w:r>
    </w:p>
    <w:p w:rsidR="004F399F" w:rsidRPr="0070281B" w:rsidRDefault="004F399F" w:rsidP="004F399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lastRenderedPageBreak/>
        <w:t>d) Tổ chức tuyên truyền, giáo dục về phòng không nhân dân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Ban Chỉ đạo phòng không nhân dân các cấp phối hợp với cơ quan chức năng của cấp mình tổ chức tuyên truyền, giáo dục, nâng cao nhận thức, hiểu biết về phòng không nhân dân cho các tầng lớp nhân dân.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Nội dung tuyên truyền: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Vị trí, chức năng, nguyên tắc tổ chức, hoạt động phòng không nhân dân;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Hoạt động phòng không nhân dân thời bình và thời chiến;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Hệ thống thông báo, báo động, công trình phòng tránh, nguy trang, nghỉ binh, khu vực sơ tán, phân tán,... khi địch tiến công đường không;</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Phương án cứu hộ, cứu nạn, cứu thương và khắc phục hậu quả, thiệt hại sau khi địch tiến công đường không,....</w:t>
      </w:r>
    </w:p>
    <w:p w:rsidR="004F399F" w:rsidRPr="0070281B" w:rsidRDefault="004F399F" w:rsidP="004F399F">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70281B">
        <w:rPr>
          <w:rFonts w:ascii="Montserrat" w:eastAsia="Times New Roman" w:hAnsi="Montserrat" w:cs="Arial"/>
          <w:b/>
          <w:bCs/>
          <w:color w:val="734332"/>
          <w:sz w:val="2"/>
          <w:szCs w:val="2"/>
          <w:lang w:val="en-US"/>
        </w:rPr>
        <w:fldChar w:fldCharType="begin"/>
      </w:r>
      <w:r w:rsidRPr="0070281B">
        <w:rPr>
          <w:rFonts w:ascii="Montserrat" w:eastAsia="Times New Roman" w:hAnsi="Montserrat" w:cs="Arial"/>
          <w:b/>
          <w:bCs/>
          <w:color w:val="734332"/>
          <w:sz w:val="2"/>
          <w:szCs w:val="2"/>
          <w:lang w:val="en-US"/>
        </w:rPr>
        <w:instrText xml:space="preserve"> HYPERLINK "https://sites.google.com/site/datphamgdqp/gdqpan-kh%E1%BB%91i-11/b%C3%A0i-5-ki%E1%BA%BFn-th%E1%BB%A9c-ph%E1%BB%95-th%C3%B4ng-v%E1%BB%81-ph%C3%B2ng-kh%C3%B4ng-nh%C3%A2n-d%C3%A2n" \l "h.47hkag69xdj3" </w:instrText>
      </w:r>
      <w:r w:rsidRPr="0070281B">
        <w:rPr>
          <w:rFonts w:ascii="Montserrat" w:eastAsia="Times New Roman" w:hAnsi="Montserrat" w:cs="Arial"/>
          <w:b/>
          <w:bCs/>
          <w:color w:val="734332"/>
          <w:sz w:val="2"/>
          <w:szCs w:val="2"/>
          <w:lang w:val="en-US"/>
        </w:rPr>
        <w:fldChar w:fldCharType="separate"/>
      </w:r>
    </w:p>
    <w:p w:rsidR="004F399F" w:rsidRPr="0070281B" w:rsidRDefault="004F399F" w:rsidP="004F399F">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70281B">
        <w:rPr>
          <w:rFonts w:ascii="Montserrat" w:eastAsia="Times New Roman" w:hAnsi="Montserrat" w:cs="Arial"/>
          <w:b/>
          <w:bCs/>
          <w:color w:val="734332"/>
          <w:sz w:val="2"/>
          <w:szCs w:val="2"/>
          <w:lang w:val="en-US"/>
        </w:rPr>
        <w:fldChar w:fldCharType="end"/>
      </w:r>
    </w:p>
    <w:p w:rsidR="004F399F" w:rsidRPr="0070281B" w:rsidRDefault="004F399F" w:rsidP="004F399F">
      <w:pPr>
        <w:spacing w:after="0" w:line="240" w:lineRule="auto"/>
        <w:jc w:val="both"/>
        <w:textAlignment w:val="baseline"/>
        <w:outlineLvl w:val="2"/>
        <w:rPr>
          <w:rFonts w:ascii="Montserrat" w:eastAsia="Times New Roman" w:hAnsi="Montserrat" w:cs="Arial"/>
          <w:b/>
          <w:bCs/>
          <w:color w:val="734332"/>
          <w:sz w:val="28"/>
          <w:szCs w:val="28"/>
          <w:lang w:val="en-US"/>
        </w:rPr>
      </w:pPr>
      <w:r w:rsidRPr="0070281B">
        <w:rPr>
          <w:rFonts w:ascii="Arial" w:eastAsia="Times New Roman" w:hAnsi="Arial" w:cs="Arial"/>
          <w:b/>
          <w:bCs/>
          <w:color w:val="000000"/>
          <w:sz w:val="28"/>
          <w:szCs w:val="28"/>
          <w:lang w:val="en-US"/>
        </w:rPr>
        <w:t>2.2. Hoạt động phòng không nhân dân thời chiến</w:t>
      </w:r>
    </w:p>
    <w:p w:rsidR="004F399F" w:rsidRPr="0070281B" w:rsidRDefault="004F399F" w:rsidP="004F399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a) Tổ chức trinh sát, quan sát và thông báo, báo động</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Triển khai hệ thống quan sát, trinh sát nắm tình hình địch và diễn biến các trận tiến công đường không của địch, thông báo, báo động kịp thời.</w:t>
      </w:r>
    </w:p>
    <w:p w:rsidR="004F399F" w:rsidRPr="0070281B" w:rsidRDefault="004F399F" w:rsidP="004F399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b) Tổ chức sơ tán, phân tán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Sơ tán, phân tán đến khi tình hình ổn định: Áp dụng đối với trẻ em, người già yếu, phụ nữ mang thai ở vùng trọng điểm phòng không.</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Sơ tán, phân tán trong tỉnh huống khẩn cấp:</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Áp dụng đối với các khu vực có nguy cơ địch tập trung đánh phá.</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Người, phương tiện của các nhà máy, doanh nghiệp phải sơ tán vẫn tiếp tục sản xuất để bảo đảm nhu cầu quốc phòng và nhu cầu thiết yếu của nhân dân.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Sơ tán, phân tán tại chỗ: Áp dụng đối với lực lượng bám trụ ở những địa bàn trọng điểm về phòng không nhân dân để sẵn sàng thực hiện nhiệm vụ đánh trả và khắc phục thiệt hại, hậu quả sau khi địch tiến công đường không.</w:t>
      </w:r>
    </w:p>
    <w:p w:rsidR="004F399F" w:rsidRPr="0070281B" w:rsidRDefault="004F399F" w:rsidP="004F399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c) Tổ chức đánh địch tiến công đường không</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các đơn vị súng máy phòng không của Bộ đội địa phương và Dân quân tự vệ kết hợp với các tổ bắn máy bay tầm thấp bằng súng bộ binh ở cơ quan, xí nghiệp, làng, xã tạo lưới lửa phòng không dày đặc.</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Vận dụng linh hoạt các hình thức chiến thuật, thường xuyên cơ động, tổ chức phục kích, đón lõng, vây bắt giặc lái,... để đánh trả khi địch tiến công đường không.</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lực lượng phục vụ, bảo đảm chiến đấu để thực hiện nhiệm vụ tiếp đạn, tải thương, đào đắp công sự, trận địa, sửa chữa đường cơ động, giao thông,...</w:t>
      </w:r>
    </w:p>
    <w:p w:rsidR="004F399F" w:rsidRPr="0070281B" w:rsidRDefault="004F399F" w:rsidP="004F399F">
      <w:pPr>
        <w:spacing w:after="0" w:line="240" w:lineRule="auto"/>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b/>
          <w:bCs/>
          <w:color w:val="000000"/>
          <w:sz w:val="28"/>
          <w:szCs w:val="28"/>
          <w:lang w:val="en-US"/>
        </w:rPr>
        <w:t>d) Tổ chức khắc phục thiệt hại, hậu quả</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lực lượng cứu sập (gồm lực lượng tại chỗ và lực lượng cơ động) ở cơ quan, nhà máy, xí nghiệp, trường học....</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lực lượng cứu thương lấy lực lượng y tế làm nòng cốt và chia làm 4 tuyến: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Tuyến sơ cứu tại chỗ;</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Tuyến cấp cứu ban đầu tại trạm xá, bệnh xá;</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Tuyến bệnh viện cấp huyện;</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Tuyến bệnh viện cấp tỉnh.</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lực lượng chữa cháy lấy lực lượng phòng cháy, chữa cháy làm nòng cốt kết hợp với dân quân tự vệ và quần chúng ở cơ sở.</w:t>
      </w:r>
    </w:p>
    <w:p w:rsidR="004F399F" w:rsidRPr="0070281B" w:rsidRDefault="004F399F" w:rsidP="004F399F">
      <w:pPr>
        <w:spacing w:after="0" w:line="240" w:lineRule="auto"/>
        <w:ind w:right="40" w:firstLine="20"/>
        <w:jc w:val="both"/>
        <w:textAlignment w:val="baseline"/>
        <w:rPr>
          <w:rFonts w:ascii="Montserrat" w:eastAsia="Times New Roman" w:hAnsi="Montserrat" w:cs="Arial"/>
          <w:color w:val="1C1C1C"/>
          <w:sz w:val="24"/>
          <w:szCs w:val="24"/>
          <w:lang w:val="en-US"/>
        </w:rPr>
      </w:pPr>
      <w:r w:rsidRPr="0070281B">
        <w:rPr>
          <w:rFonts w:ascii="Arial" w:eastAsia="Times New Roman" w:hAnsi="Arial" w:cs="Arial"/>
          <w:color w:val="000000"/>
          <w:sz w:val="28"/>
          <w:szCs w:val="28"/>
          <w:lang w:val="en-US"/>
        </w:rPr>
        <w:t>- Tổ chức ổn định đời sống nhân dân, khôi phục sản xuất sau khi địch tiến công đường không.</w:t>
      </w:r>
    </w:p>
    <w:p w:rsidR="004F399F" w:rsidRDefault="004F399F" w:rsidP="004F399F"/>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9F"/>
    <w:rsid w:val="004E7F17"/>
    <w:rsid w:val="004F399F"/>
    <w:rsid w:val="0086044B"/>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99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99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Bài 6:  Kiến thức phổ thông về phòng không nhân dân.</vt:lpstr>
      <vt:lpstr>        </vt:lpstr>
      <vt:lpstr>        </vt:lpstr>
      <vt:lpstr>        2.1. Hoạt động phòng không nhân dân thời bình</vt:lpstr>
      <vt:lpstr>        </vt:lpstr>
      <vt:lpstr>        </vt:lpstr>
      <vt:lpstr>        2.2. Hoạt động phòng không nhân dân thời chiến</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2023-12-29T14:35:00Z</dcterms:created>
  <dcterms:modified xsi:type="dcterms:W3CDTF">2024-10-01T15:39:00Z</dcterms:modified>
</cp:coreProperties>
</file>