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EB" w:rsidRPr="00F80AF7" w:rsidRDefault="00C01E85" w:rsidP="006A59EB">
      <w:pPr>
        <w:keepNext/>
        <w:keepLines/>
        <w:spacing w:after="0" w:line="360" w:lineRule="auto"/>
        <w:ind w:firstLine="709"/>
        <w:jc w:val="center"/>
        <w:outlineLvl w:val="0"/>
        <w:rPr>
          <w:rFonts w:ascii="Times New Roman" w:eastAsia="Times New Roman" w:hAnsi="Times New Roman" w:cs="Times New Roman"/>
          <w:b/>
          <w:bCs/>
          <w:color w:val="7030A0"/>
          <w:sz w:val="32"/>
          <w:szCs w:val="32"/>
          <w:lang w:eastAsia="vi-VN"/>
        </w:rPr>
      </w:pPr>
      <w:bookmarkStart w:id="0" w:name="_Toc169161696"/>
      <w:r>
        <w:rPr>
          <w:rFonts w:ascii="Times New Roman" w:eastAsia="Times New Roman" w:hAnsi="Times New Roman" w:cs="Times New Roman"/>
          <w:b/>
          <w:bCs/>
          <w:color w:val="7030A0"/>
          <w:sz w:val="32"/>
          <w:szCs w:val="32"/>
          <w:lang w:eastAsia="vi-VN"/>
        </w:rPr>
        <w:t xml:space="preserve">BÀI 6 </w:t>
      </w:r>
      <w:r w:rsidR="003A2134" w:rsidRPr="003A2134">
        <w:rPr>
          <w:rFonts w:ascii="Times New Roman" w:eastAsia="Times New Roman" w:hAnsi="Times New Roman" w:cs="Times New Roman"/>
          <w:b/>
          <w:bCs/>
          <w:color w:val="7030A0"/>
          <w:sz w:val="32"/>
          <w:szCs w:val="32"/>
          <w:lang w:eastAsia="vi-VN"/>
        </w:rPr>
        <w:t xml:space="preserve">: </w:t>
      </w:r>
      <w:bookmarkEnd w:id="0"/>
      <w:r w:rsidR="006A59EB" w:rsidRPr="00F80AF7">
        <w:rPr>
          <w:rFonts w:ascii="Times New Roman" w:eastAsia="Times New Roman" w:hAnsi="Times New Roman" w:cs="Times New Roman"/>
          <w:b/>
          <w:bCs/>
          <w:color w:val="7030A0"/>
          <w:sz w:val="32"/>
          <w:szCs w:val="32"/>
          <w:lang w:eastAsia="vi-VN"/>
        </w:rPr>
        <w:t xml:space="preserve">CÔNG TÁC TUYỂN SINH </w:t>
      </w:r>
      <w:r w:rsidR="006A59EB">
        <w:rPr>
          <w:rFonts w:ascii="Times New Roman" w:eastAsia="Times New Roman" w:hAnsi="Times New Roman" w:cs="Times New Roman"/>
          <w:b/>
          <w:bCs/>
          <w:color w:val="7030A0"/>
          <w:sz w:val="32"/>
          <w:szCs w:val="32"/>
          <w:lang w:eastAsia="vi-VN"/>
        </w:rPr>
        <w:t xml:space="preserve">, </w:t>
      </w:r>
      <w:r w:rsidR="006A59EB" w:rsidRPr="00F80AF7">
        <w:rPr>
          <w:rFonts w:ascii="Times New Roman" w:eastAsia="Times New Roman" w:hAnsi="Times New Roman" w:cs="Times New Roman"/>
          <w:b/>
          <w:bCs/>
          <w:color w:val="7030A0"/>
          <w:sz w:val="32"/>
          <w:szCs w:val="32"/>
          <w:lang w:eastAsia="vi-VN"/>
        </w:rPr>
        <w:t xml:space="preserve">ĐÀO TẠO TRONG CÁC TRƯỜNG QUÂN ĐỘI </w:t>
      </w:r>
      <w:r w:rsidR="006A59EB">
        <w:rPr>
          <w:rFonts w:ascii="Times New Roman" w:eastAsia="Times New Roman" w:hAnsi="Times New Roman" w:cs="Times New Roman"/>
          <w:b/>
          <w:bCs/>
          <w:color w:val="7030A0"/>
          <w:sz w:val="32"/>
          <w:szCs w:val="32"/>
          <w:lang w:eastAsia="vi-VN"/>
        </w:rPr>
        <w:t xml:space="preserve">NHÂN DÂN VIỆT NAM VÀ </w:t>
      </w:r>
      <w:r w:rsidR="006A59EB" w:rsidRPr="00F80AF7">
        <w:rPr>
          <w:rFonts w:ascii="Times New Roman" w:eastAsia="Times New Roman" w:hAnsi="Times New Roman" w:cs="Times New Roman"/>
          <w:b/>
          <w:bCs/>
          <w:color w:val="7030A0"/>
          <w:sz w:val="32"/>
          <w:szCs w:val="32"/>
          <w:lang w:eastAsia="vi-VN"/>
        </w:rPr>
        <w:t xml:space="preserve">CÔNG AN </w:t>
      </w:r>
      <w:r w:rsidR="006A59EB">
        <w:rPr>
          <w:rFonts w:ascii="Times New Roman" w:eastAsia="Times New Roman" w:hAnsi="Times New Roman" w:cs="Times New Roman"/>
          <w:b/>
          <w:bCs/>
          <w:color w:val="7030A0"/>
          <w:sz w:val="32"/>
          <w:szCs w:val="32"/>
          <w:lang w:eastAsia="vi-VN"/>
        </w:rPr>
        <w:t>NHÂN DÂN VIỆT NAM</w:t>
      </w:r>
    </w:p>
    <w:p w:rsidR="003A2134" w:rsidRPr="003A2134" w:rsidRDefault="003A2134" w:rsidP="003A2134">
      <w:pPr>
        <w:keepNext/>
        <w:keepLines/>
        <w:spacing w:after="0" w:line="360" w:lineRule="auto"/>
        <w:ind w:firstLine="709"/>
        <w:jc w:val="center"/>
        <w:outlineLvl w:val="0"/>
        <w:rPr>
          <w:rFonts w:ascii="Times New Roman" w:eastAsia="Times New Roman" w:hAnsi="Times New Roman" w:cs="Times New Roman"/>
          <w:b/>
          <w:bCs/>
          <w:color w:val="7030A0"/>
          <w:sz w:val="32"/>
          <w:szCs w:val="32"/>
          <w:lang w:eastAsia="vi-VN"/>
        </w:rPr>
      </w:pPr>
      <w:bookmarkStart w:id="1" w:name="_GoBack"/>
      <w:bookmarkEnd w:id="1"/>
    </w:p>
    <w:p w:rsidR="003A2134" w:rsidRDefault="003A2134" w:rsidP="003A2134">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2" w:name="_Toc169161697"/>
    </w:p>
    <w:p w:rsidR="003A2134" w:rsidRDefault="003A2134" w:rsidP="003A2134">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p>
    <w:p w:rsidR="003A2134" w:rsidRPr="003A2134" w:rsidRDefault="003A2134" w:rsidP="003A2134">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r w:rsidRPr="003A2134">
        <w:rPr>
          <w:rFonts w:ascii="Times New Roman" w:eastAsia="Times New Roman" w:hAnsi="Times New Roman" w:cs="Times New Roman"/>
          <w:b/>
          <w:bCs/>
          <w:color w:val="194FBD"/>
          <w:sz w:val="28"/>
          <w:szCs w:val="28"/>
          <w:shd w:val="clear" w:color="auto" w:fill="FFFFFF"/>
          <w:lang w:val="vi-VN" w:eastAsia="vi-VN"/>
        </w:rPr>
        <w:t>I. MỘT SỐ VẤN ĐỀ CHUNG</w:t>
      </w:r>
      <w:bookmarkEnd w:id="2"/>
    </w:p>
    <w:p w:rsidR="003A2134" w:rsidRPr="003A2134" w:rsidRDefault="003A2134" w:rsidP="003A2134">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3" w:name="_Toc169161700"/>
      <w:r w:rsidRPr="003A2134">
        <w:rPr>
          <w:rFonts w:ascii="Times New Roman" w:eastAsia="Times New Roman" w:hAnsi="Times New Roman" w:cs="Times New Roman"/>
          <w:b/>
          <w:bCs/>
          <w:color w:val="194FBD"/>
          <w:sz w:val="28"/>
          <w:szCs w:val="28"/>
          <w:shd w:val="clear" w:color="auto" w:fill="FFFFFF"/>
          <w:lang w:val="vi-VN" w:eastAsia="vi-VN"/>
        </w:rPr>
        <w:t>II. CÔNG TÁC TUYỂN SINH, ĐÀO TẠO TRONG CÁC TRƯỜNG QUÂN ĐỘI NHÂN DÂN VIỆT NAM</w:t>
      </w:r>
      <w:bookmarkEnd w:id="3"/>
    </w:p>
    <w:p w:rsidR="003A2134" w:rsidRPr="003A2134" w:rsidRDefault="003A2134" w:rsidP="003A2134">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4" w:name="_Toc169161710"/>
      <w:r w:rsidRPr="003A2134">
        <w:rPr>
          <w:rFonts w:ascii="Times New Roman" w:eastAsia="Times New Roman" w:hAnsi="Times New Roman" w:cs="Times New Roman"/>
          <w:b/>
          <w:bCs/>
          <w:color w:val="00B050"/>
          <w:sz w:val="28"/>
          <w:szCs w:val="28"/>
          <w:shd w:val="clear" w:color="auto" w:fill="FFFFFF"/>
          <w:lang w:val="vi-VN" w:eastAsia="vi-VN"/>
        </w:rPr>
        <w:t>III. CÔNG TÁC TUYỂN SINH, ĐÀO TẠO TRONG CÁC TRƯỜNG CÔNG AN NHÂN DÂN VIỆT NAM</w:t>
      </w:r>
      <w:bookmarkEnd w:id="4"/>
    </w:p>
    <w:p w:rsidR="003A2134" w:rsidRPr="003A2134" w:rsidRDefault="003A2134" w:rsidP="003A2134">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5" w:name="_Toc169161711"/>
      <w:r w:rsidRPr="003A2134">
        <w:rPr>
          <w:rFonts w:ascii="Times New Roman" w:eastAsia="Times New Roman" w:hAnsi="Times New Roman" w:cs="Times New Roman"/>
          <w:b/>
          <w:bCs/>
          <w:color w:val="194FBD"/>
          <w:sz w:val="28"/>
          <w:szCs w:val="28"/>
          <w:shd w:val="clear" w:color="auto" w:fill="FFFFFF"/>
          <w:lang w:val="vi-VN" w:eastAsia="vi-VN"/>
        </w:rPr>
        <w:t>1. Hệ thống nhà trường trong Công an</w:t>
      </w:r>
      <w:bookmarkEnd w:id="5"/>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Hệ thống nhà trường trong Công an nhân dân gồm.</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Các học viện: Học viện An ninh nhân dân, Học viện Cảnh sát nhân dân, Học viện Chính trị Công an nhân dân.</w:t>
      </w:r>
      <w:r w:rsidRPr="003A2134">
        <w:rPr>
          <w:rFonts w:ascii="Times New Roman" w:eastAsia="Arial" w:hAnsi="Times New Roman" w:cs="Times New Roman"/>
          <w:sz w:val="28"/>
          <w:szCs w:val="28"/>
          <w:lang w:eastAsia="vi-VN"/>
        </w:rPr>
        <w:t xml:space="preserve"> </w:t>
      </w:r>
      <w:r w:rsidRPr="003A2134">
        <w:rPr>
          <w:rFonts w:ascii="Times New Roman" w:eastAsia="Arial" w:hAnsi="Times New Roman" w:cs="Times New Roman"/>
          <w:sz w:val="28"/>
          <w:szCs w:val="28"/>
          <w:lang w:val="vi-VN" w:eastAsia="vi-VN"/>
        </w:rPr>
        <w:t>Học viện Quốc tế</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 Các trường đại học: Trường Đại học An ninh nhân dân 1, Trường Đại học Cảnh sát nhân dân, Trường Đại học Phòng cháy chữa cháy, Trường Đại học Kỹ thuật - Hậu cần Công an nhân dân.</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 Các trường cao đẳng: Trường Cao đẳng An ninh nhân dân 1. Trường Cao đẳng Cảnh sát nhân dân 1, Trường Cao đẳng Cảnh sát nhân dân II</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 Trường Văn hoá.</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Chú ý: Các học viện, trường đại học, trường cao đẳng trong Công an đều tuyển sinh học sinh trung học phổ thông.</w:t>
      </w:r>
    </w:p>
    <w:p w:rsidR="003A2134" w:rsidRPr="003A2134" w:rsidRDefault="003A2134" w:rsidP="003A2134">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6" w:name="_Toc169161712"/>
      <w:r w:rsidRPr="003A2134">
        <w:rPr>
          <w:rFonts w:ascii="Times New Roman" w:eastAsia="Times New Roman" w:hAnsi="Times New Roman" w:cs="Times New Roman"/>
          <w:b/>
          <w:bCs/>
          <w:color w:val="194FBD"/>
          <w:sz w:val="28"/>
          <w:szCs w:val="28"/>
          <w:shd w:val="clear" w:color="auto" w:fill="FFFFFF"/>
          <w:lang w:val="vi-VN" w:eastAsia="vi-VN"/>
        </w:rPr>
        <w:t>2. Tuyển sinh đào tạo trình độ đại học chính quy tuyển mới</w:t>
      </w:r>
      <w:bookmarkEnd w:id="6"/>
    </w:p>
    <w:p w:rsidR="003A2134" w:rsidRPr="003A2134" w:rsidRDefault="003A2134" w:rsidP="003A2134">
      <w:pPr>
        <w:keepNext/>
        <w:keepLines/>
        <w:spacing w:after="0" w:line="360" w:lineRule="auto"/>
        <w:ind w:firstLine="709"/>
        <w:jc w:val="both"/>
        <w:outlineLvl w:val="2"/>
        <w:rPr>
          <w:rFonts w:ascii="Times New Roman" w:eastAsia="Times New Roman" w:hAnsi="Times New Roman" w:cs="Times New Roman"/>
          <w:b/>
          <w:color w:val="1F3763"/>
          <w:sz w:val="28"/>
          <w:szCs w:val="24"/>
          <w:lang w:val="vi-VN" w:eastAsia="vi-VN"/>
        </w:rPr>
      </w:pPr>
      <w:bookmarkStart w:id="7" w:name="_Toc169161713"/>
      <w:r w:rsidRPr="003A2134">
        <w:rPr>
          <w:rFonts w:ascii="Times New Roman" w:eastAsia="Times New Roman" w:hAnsi="Times New Roman" w:cs="Times New Roman"/>
          <w:b/>
          <w:color w:val="1F3763"/>
          <w:sz w:val="28"/>
          <w:szCs w:val="24"/>
          <w:lang w:val="vi-VN" w:eastAsia="vi-VN"/>
        </w:rPr>
        <w:t>a) Đối tượng tuyển sinh</w:t>
      </w:r>
      <w:bookmarkEnd w:id="7"/>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Công dân thường trú tại địa phương nơi đăng ki sơ tuyến.</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 Học sinh Trường Văn hoá.</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 Chiến sĩ nghĩa vụ Công an.</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lastRenderedPageBreak/>
        <w:t>Công dân hoàn thành nghĩa vụ tham gia Công an nhân dân có quyết định xuất ngũ trong vòng 12 tháng tỉnh đến tháng dự tuyển.</w:t>
      </w:r>
    </w:p>
    <w:p w:rsidR="003A2134" w:rsidRPr="003A2134" w:rsidRDefault="003A2134" w:rsidP="003A2134">
      <w:pPr>
        <w:keepNext/>
        <w:keepLines/>
        <w:spacing w:after="0" w:line="360" w:lineRule="auto"/>
        <w:ind w:firstLine="709"/>
        <w:jc w:val="both"/>
        <w:outlineLvl w:val="2"/>
        <w:rPr>
          <w:rFonts w:ascii="Times New Roman" w:eastAsia="Times New Roman" w:hAnsi="Times New Roman" w:cs="Times New Roman"/>
          <w:b/>
          <w:color w:val="1F3763"/>
          <w:sz w:val="28"/>
          <w:szCs w:val="24"/>
          <w:lang w:val="vi-VN" w:eastAsia="vi-VN"/>
        </w:rPr>
      </w:pPr>
      <w:bookmarkStart w:id="8" w:name="_Toc169161714"/>
      <w:r w:rsidRPr="003A2134">
        <w:rPr>
          <w:rFonts w:ascii="Times New Roman" w:eastAsia="Times New Roman" w:hAnsi="Times New Roman" w:cs="Times New Roman"/>
          <w:b/>
          <w:color w:val="1F3763"/>
          <w:sz w:val="28"/>
          <w:szCs w:val="24"/>
          <w:lang w:val="vi-VN" w:eastAsia="vi-VN"/>
        </w:rPr>
        <w:t>b) Tiêu chuẩn tuyển sinh</w:t>
      </w:r>
      <w:bookmarkEnd w:id="8"/>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Tiêu chuẩn chung: Bảo đảm các điều kiện theo quy định của pháp luật và của</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Bộ Giáo dục và Đào tạo, có đủ tiêu chuẩn về chính trị, phẩm chất đạo đức, sức khoẻ tuyển</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vào Công an nhân dân theo quy định hiện hành của Bộ Công an, có khả năng giữ bình</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tĩnh, nhanh nhẹn, có trí nhớ tốt, tư duy logic và những phẩm chất khác theo yêu cầu của</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từng hệ lực lượng nghiệp vụ trong Công an nhân dân (nếu có).</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Ngoài tiêu chuẩn chung, tùy đối tượng tuyển sinh cần đáp ứng các yêu cầu về độ</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tuổi, kết quả học tập, rèn luyện trong những năm học ở cấp trung học phổ thông, thời</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gian, kết quả xếp loại công tác theo quy định của Bộ Công an</w:t>
      </w:r>
    </w:p>
    <w:p w:rsidR="003A2134" w:rsidRPr="003A2134" w:rsidRDefault="003A2134" w:rsidP="003A2134">
      <w:pPr>
        <w:keepNext/>
        <w:keepLines/>
        <w:spacing w:after="0" w:line="360" w:lineRule="auto"/>
        <w:ind w:firstLine="709"/>
        <w:jc w:val="both"/>
        <w:outlineLvl w:val="2"/>
        <w:rPr>
          <w:rFonts w:ascii="Times New Roman" w:eastAsia="Times New Roman" w:hAnsi="Times New Roman" w:cs="Times New Roman"/>
          <w:b/>
          <w:color w:val="1F3763"/>
          <w:sz w:val="28"/>
          <w:szCs w:val="24"/>
          <w:lang w:val="vi-VN" w:eastAsia="vi-VN"/>
        </w:rPr>
      </w:pPr>
      <w:bookmarkStart w:id="9" w:name="_Toc169161715"/>
      <w:r w:rsidRPr="003A2134">
        <w:rPr>
          <w:rFonts w:ascii="Times New Roman" w:eastAsia="Times New Roman" w:hAnsi="Times New Roman" w:cs="Times New Roman"/>
          <w:b/>
          <w:color w:val="1F3763"/>
          <w:sz w:val="28"/>
          <w:szCs w:val="24"/>
          <w:lang w:val="vi-VN" w:eastAsia="vi-VN"/>
        </w:rPr>
        <w:t>c) Các phương thức tuyển sinh</w:t>
      </w:r>
      <w:bookmarkEnd w:id="9"/>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 Thi tuyển.</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eastAsia="vi-VN"/>
        </w:rPr>
        <w:t xml:space="preserve">- </w:t>
      </w:r>
      <w:r w:rsidRPr="003A2134">
        <w:rPr>
          <w:rFonts w:ascii="Times New Roman" w:eastAsia="Arial" w:hAnsi="Times New Roman" w:cs="Times New Roman"/>
          <w:sz w:val="28"/>
          <w:szCs w:val="28"/>
          <w:lang w:val="vi-VN" w:eastAsia="vi-VN"/>
        </w:rPr>
        <w:t>Xét tuyển.</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rPr>
      </w:pPr>
      <w:r w:rsidRPr="003A2134">
        <w:rPr>
          <w:rFonts w:ascii="Times New Roman" w:eastAsia="Arial" w:hAnsi="Times New Roman" w:cs="Times New Roman"/>
          <w:sz w:val="28"/>
          <w:szCs w:val="28"/>
          <w:lang w:val="vi-VN" w:eastAsia="vi-VN"/>
        </w:rPr>
        <w:t>Kết hợp giữa thi tuyển và xét tuyển.</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Trường Công an nhân dân xác định phương thức tuyên sinh theo quy định của Bộ Giáo dục và Đào tạo, Bộ Lao động - Thương binh và Xã hội, hướng dẫn tuyển sinh hãng năm của Bộ Công an.</w:t>
      </w:r>
    </w:p>
    <w:p w:rsidR="003A2134" w:rsidRPr="003A2134" w:rsidRDefault="003A2134" w:rsidP="003A2134">
      <w:pPr>
        <w:keepNext/>
        <w:keepLines/>
        <w:spacing w:after="0" w:line="360" w:lineRule="auto"/>
        <w:ind w:firstLine="709"/>
        <w:jc w:val="both"/>
        <w:outlineLvl w:val="2"/>
        <w:rPr>
          <w:rFonts w:ascii="Times New Roman" w:eastAsia="Times New Roman" w:hAnsi="Times New Roman" w:cs="Times New Roman"/>
          <w:b/>
          <w:color w:val="1F3763"/>
          <w:sz w:val="28"/>
          <w:szCs w:val="24"/>
          <w:lang w:val="vi-VN" w:eastAsia="vi-VN"/>
        </w:rPr>
      </w:pPr>
      <w:bookmarkStart w:id="10" w:name="_Toc169161716"/>
      <w:r w:rsidRPr="003A2134">
        <w:rPr>
          <w:rFonts w:ascii="Times New Roman" w:eastAsia="Times New Roman" w:hAnsi="Times New Roman" w:cs="Times New Roman"/>
          <w:b/>
          <w:color w:val="1F3763"/>
          <w:sz w:val="28"/>
          <w:szCs w:val="24"/>
          <w:lang w:val="vi-VN" w:eastAsia="vi-VN"/>
        </w:rPr>
        <w:t>đ) Sơ tuyển</w:t>
      </w:r>
      <w:bookmarkEnd w:id="10"/>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 Tất cả thí sinh dự tuyển phải tham gia sơ tuyển.</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Nội dung sơ tuyển (kiểm tra thông tin cá nhân, bằng tốt nghiệp và học bạ trung học phổ thông, phẩm chất đạo đức và quá trình học tập, công tác, kiểm tra sức khoẻ, năng khiếu, thẩm tra, xác minh, kết luận tiêu chuẩn chính trị, chụp ảnh thí sinh) và công khai kết quả sơ tuyển thực hiện theo quy định của Bộ Công an</w:t>
      </w:r>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Chú ý: Các trường tuyển sinh, khu vực tuyến sinh, hồ sơ đăng kí dự tuyển, hồ sơ đăng ki tuyển sinh, ưu tiên trong tuyển sinh, tổ chức thi tuyển, xét tuyển và các quy định khác trong tuyển sinh đào tạo trình độ đại học chính quy tuyên mới thực hiện theo quy định của Bộ Giáo dục và Đào tạo và hướng dẫn hằng năm của Bộ Công an.</w:t>
      </w:r>
    </w:p>
    <w:p w:rsidR="003A2134" w:rsidRPr="003A2134" w:rsidRDefault="003A2134" w:rsidP="003A2134">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11" w:name="_Toc169161717"/>
      <w:r w:rsidRPr="003A2134">
        <w:rPr>
          <w:rFonts w:ascii="Times New Roman" w:eastAsia="Times New Roman" w:hAnsi="Times New Roman" w:cs="Times New Roman"/>
          <w:b/>
          <w:bCs/>
          <w:color w:val="194FBD"/>
          <w:sz w:val="28"/>
          <w:szCs w:val="28"/>
          <w:shd w:val="clear" w:color="auto" w:fill="FFFFFF"/>
          <w:lang w:val="vi-VN" w:eastAsia="vi-VN"/>
        </w:rPr>
        <w:t>3. Các trình độ và một số ngành đào tạo trong trường Công an</w:t>
      </w:r>
      <w:bookmarkEnd w:id="11"/>
    </w:p>
    <w:p w:rsidR="003A2134" w:rsidRPr="003A2134" w:rsidRDefault="003A2134" w:rsidP="003A2134">
      <w:pPr>
        <w:keepNext/>
        <w:keepLines/>
        <w:spacing w:after="0" w:line="360" w:lineRule="auto"/>
        <w:ind w:firstLine="709"/>
        <w:jc w:val="both"/>
        <w:outlineLvl w:val="2"/>
        <w:rPr>
          <w:rFonts w:ascii="Times New Roman" w:eastAsia="Times New Roman" w:hAnsi="Times New Roman" w:cs="Times New Roman"/>
          <w:b/>
          <w:color w:val="1F3763"/>
          <w:sz w:val="28"/>
          <w:szCs w:val="24"/>
          <w:lang w:val="vi-VN" w:eastAsia="vi-VN"/>
        </w:rPr>
      </w:pPr>
      <w:bookmarkStart w:id="12" w:name="_Toc169161718"/>
      <w:r w:rsidRPr="003A2134">
        <w:rPr>
          <w:rFonts w:ascii="Times New Roman" w:eastAsia="Times New Roman" w:hAnsi="Times New Roman" w:cs="Times New Roman"/>
          <w:b/>
          <w:color w:val="1F3763"/>
          <w:sz w:val="28"/>
          <w:szCs w:val="24"/>
          <w:lang w:val="vi-VN" w:eastAsia="vi-VN"/>
        </w:rPr>
        <w:t>a) Các trình độ được đào tạo</w:t>
      </w:r>
      <w:bookmarkEnd w:id="12"/>
    </w:p>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Các trình độ trung cấp, cao đẳng. đại học, thạc sĩ, tiến sĩ được đào tạo theo quy định đối với từng trường cao đăng, trường đại học, học viện trong Công an nhân dân</w:t>
      </w:r>
    </w:p>
    <w:p w:rsidR="003A2134" w:rsidRPr="003A2134" w:rsidRDefault="003A2134" w:rsidP="003A2134">
      <w:pPr>
        <w:keepNext/>
        <w:keepLines/>
        <w:spacing w:after="0" w:line="360" w:lineRule="auto"/>
        <w:ind w:firstLine="709"/>
        <w:jc w:val="both"/>
        <w:outlineLvl w:val="2"/>
        <w:rPr>
          <w:rFonts w:ascii="Times New Roman" w:eastAsia="Times New Roman" w:hAnsi="Times New Roman" w:cs="Times New Roman"/>
          <w:b/>
          <w:color w:val="1F3763"/>
          <w:sz w:val="28"/>
          <w:szCs w:val="24"/>
          <w:lang w:val="vi-VN" w:eastAsia="vi-VN"/>
        </w:rPr>
      </w:pPr>
      <w:bookmarkStart w:id="13" w:name="_Toc169161719"/>
      <w:r w:rsidRPr="003A2134">
        <w:rPr>
          <w:rFonts w:ascii="Times New Roman" w:eastAsia="Times New Roman" w:hAnsi="Times New Roman" w:cs="Times New Roman"/>
          <w:b/>
          <w:color w:val="1F3763"/>
          <w:sz w:val="28"/>
          <w:szCs w:val="24"/>
          <w:lang w:val="vi-VN" w:eastAsia="vi-VN"/>
        </w:rPr>
        <w:t>b) Một số ngành đào tạo trong một số trường Công an</w:t>
      </w:r>
      <w:bookmarkEnd w:id="13"/>
    </w:p>
    <w:tbl>
      <w:tblPr>
        <w:tblStyle w:val="TableGrid"/>
        <w:tblW w:w="0" w:type="auto"/>
        <w:tblLook w:val="04A0" w:firstRow="1" w:lastRow="0" w:firstColumn="1" w:lastColumn="0" w:noHBand="0" w:noVBand="1"/>
      </w:tblPr>
      <w:tblGrid>
        <w:gridCol w:w="4394"/>
        <w:gridCol w:w="5182"/>
      </w:tblGrid>
      <w:tr w:rsidR="003A2134" w:rsidRPr="003A2134" w:rsidTr="00CA1B2A">
        <w:tc>
          <w:tcPr>
            <w:tcW w:w="4673" w:type="dxa"/>
            <w:vAlign w:val="center"/>
          </w:tcPr>
          <w:p w:rsidR="003A2134" w:rsidRPr="003A2134" w:rsidRDefault="003A2134" w:rsidP="003A2134">
            <w:pPr>
              <w:ind w:firstLine="567"/>
              <w:jc w:val="center"/>
              <w:rPr>
                <w:rFonts w:eastAsia="Arial" w:cs="Times New Roman"/>
                <w:b/>
                <w:bCs/>
                <w:szCs w:val="28"/>
              </w:rPr>
            </w:pPr>
            <w:r w:rsidRPr="003A2134">
              <w:rPr>
                <w:rFonts w:eastAsia="Arial" w:cs="Times New Roman"/>
                <w:b/>
                <w:bCs/>
                <w:szCs w:val="28"/>
              </w:rPr>
              <w:t>Tên trường</w:t>
            </w:r>
          </w:p>
        </w:tc>
        <w:tc>
          <w:tcPr>
            <w:tcW w:w="5523" w:type="dxa"/>
          </w:tcPr>
          <w:p w:rsidR="003A2134" w:rsidRPr="003A2134" w:rsidRDefault="003A2134" w:rsidP="003A2134">
            <w:pPr>
              <w:ind w:firstLine="567"/>
              <w:jc w:val="center"/>
              <w:rPr>
                <w:rFonts w:eastAsia="Arial" w:cs="Times New Roman"/>
                <w:b/>
                <w:bCs/>
                <w:szCs w:val="28"/>
              </w:rPr>
            </w:pPr>
            <w:r w:rsidRPr="003A2134">
              <w:rPr>
                <w:rFonts w:eastAsia="Arial" w:cs="Times New Roman"/>
                <w:b/>
                <w:bCs/>
                <w:szCs w:val="28"/>
              </w:rPr>
              <w:t>Một số nghành đào tạo</w:t>
            </w:r>
          </w:p>
        </w:tc>
      </w:tr>
      <w:tr w:rsidR="003A2134" w:rsidRPr="003A2134" w:rsidTr="00CA1B2A">
        <w:tc>
          <w:tcPr>
            <w:tcW w:w="4673" w:type="dxa"/>
            <w:vAlign w:val="center"/>
          </w:tcPr>
          <w:p w:rsidR="003A2134" w:rsidRPr="003A2134" w:rsidRDefault="003A2134" w:rsidP="003A2134">
            <w:pPr>
              <w:ind w:firstLine="33"/>
              <w:rPr>
                <w:rFonts w:eastAsia="Arial" w:cs="Times New Roman"/>
                <w:szCs w:val="28"/>
              </w:rPr>
            </w:pPr>
            <w:r w:rsidRPr="003A2134">
              <w:rPr>
                <w:rFonts w:eastAsia="Arial" w:cs="Times New Roman"/>
                <w:szCs w:val="28"/>
                <w:lang w:eastAsia="vi-VN"/>
              </w:rPr>
              <w:t>Học viện An ninh nhân dân</w:t>
            </w:r>
          </w:p>
        </w:tc>
        <w:tc>
          <w:tcPr>
            <w:tcW w:w="5523" w:type="dxa"/>
          </w:tcPr>
          <w:p w:rsidR="003A2134" w:rsidRPr="003A2134" w:rsidRDefault="003A2134" w:rsidP="003A2134">
            <w:pPr>
              <w:ind w:firstLine="567"/>
              <w:rPr>
                <w:rFonts w:eastAsia="Arial" w:cs="Times New Roman"/>
                <w:szCs w:val="28"/>
              </w:rPr>
            </w:pPr>
            <w:r w:rsidRPr="003A2134">
              <w:rPr>
                <w:rFonts w:eastAsia="Arial" w:cs="Times New Roman"/>
                <w:szCs w:val="28"/>
                <w:lang w:eastAsia="vi-VN"/>
              </w:rPr>
              <w:t>An ninh mạng và phòng chống tội phạm sử dụng công nghệ cao</w:t>
            </w:r>
          </w:p>
        </w:tc>
      </w:tr>
      <w:tr w:rsidR="003A2134" w:rsidRPr="003A2134" w:rsidTr="00CA1B2A">
        <w:tc>
          <w:tcPr>
            <w:tcW w:w="4673" w:type="dxa"/>
            <w:vAlign w:val="center"/>
          </w:tcPr>
          <w:p w:rsidR="003A2134" w:rsidRPr="003A2134" w:rsidRDefault="003A2134" w:rsidP="003A2134">
            <w:pPr>
              <w:ind w:firstLine="33"/>
              <w:rPr>
                <w:rFonts w:eastAsia="Arial" w:cs="Times New Roman"/>
                <w:szCs w:val="28"/>
              </w:rPr>
            </w:pPr>
            <w:r w:rsidRPr="003A2134">
              <w:rPr>
                <w:rFonts w:eastAsia="Arial" w:cs="Times New Roman"/>
                <w:szCs w:val="28"/>
                <w:lang w:eastAsia="vi-VN"/>
              </w:rPr>
              <w:t>Học viện An ninh nhân dân, Trường Đại học An ninh nhân dân, Trường Cao đẳng An ninh nhân dân 1</w:t>
            </w:r>
          </w:p>
        </w:tc>
        <w:tc>
          <w:tcPr>
            <w:tcW w:w="5523" w:type="dxa"/>
          </w:tcPr>
          <w:p w:rsidR="003A2134" w:rsidRPr="003A2134" w:rsidRDefault="003A2134" w:rsidP="003A2134">
            <w:pPr>
              <w:ind w:firstLine="567"/>
              <w:rPr>
                <w:rFonts w:eastAsia="Arial" w:cs="Times New Roman"/>
                <w:szCs w:val="28"/>
              </w:rPr>
            </w:pPr>
            <w:r w:rsidRPr="003A2134">
              <w:rPr>
                <w:rFonts w:eastAsia="Arial" w:cs="Times New Roman"/>
                <w:szCs w:val="28"/>
                <w:lang w:eastAsia="vi-VN"/>
              </w:rPr>
              <w:t>Nghiệp vụ an ninh</w:t>
            </w:r>
          </w:p>
        </w:tc>
      </w:tr>
      <w:tr w:rsidR="003A2134" w:rsidRPr="003A2134" w:rsidTr="00CA1B2A">
        <w:tc>
          <w:tcPr>
            <w:tcW w:w="4673" w:type="dxa"/>
            <w:vAlign w:val="center"/>
          </w:tcPr>
          <w:p w:rsidR="003A2134" w:rsidRPr="003A2134" w:rsidRDefault="003A2134" w:rsidP="003A2134">
            <w:pPr>
              <w:ind w:firstLine="33"/>
              <w:rPr>
                <w:rFonts w:eastAsia="Arial" w:cs="Times New Roman"/>
                <w:szCs w:val="28"/>
              </w:rPr>
            </w:pPr>
            <w:r w:rsidRPr="003A2134">
              <w:rPr>
                <w:rFonts w:eastAsia="Arial" w:cs="Times New Roman"/>
                <w:szCs w:val="28"/>
                <w:lang w:eastAsia="vi-VN"/>
              </w:rPr>
              <w:t>Học viện Cảnh sát nhân dân, Trường Đại học Cảnh sát nhân dân, Trường Cao đẳng Cảnh sát nhân dân 1, Trường Cao đẳng Cảnh sát nhân dân t Học viện Chính trị Công an nhân dân</w:t>
            </w:r>
          </w:p>
        </w:tc>
        <w:tc>
          <w:tcPr>
            <w:tcW w:w="5523" w:type="dxa"/>
          </w:tcPr>
          <w:p w:rsidR="003A2134" w:rsidRPr="003A2134" w:rsidRDefault="003A2134" w:rsidP="003A2134">
            <w:pPr>
              <w:ind w:firstLine="567"/>
              <w:rPr>
                <w:rFonts w:eastAsia="Arial" w:cs="Times New Roman"/>
                <w:szCs w:val="28"/>
              </w:rPr>
            </w:pPr>
            <w:r w:rsidRPr="003A2134">
              <w:rPr>
                <w:rFonts w:eastAsia="Arial" w:cs="Times New Roman"/>
                <w:szCs w:val="28"/>
                <w:lang w:eastAsia="vi-VN"/>
              </w:rPr>
              <w:t>Nghiệp vụ cảnh sát</w:t>
            </w:r>
          </w:p>
        </w:tc>
      </w:tr>
      <w:tr w:rsidR="003A2134" w:rsidRPr="003A2134" w:rsidTr="00CA1B2A">
        <w:tc>
          <w:tcPr>
            <w:tcW w:w="4673" w:type="dxa"/>
            <w:vAlign w:val="center"/>
          </w:tcPr>
          <w:p w:rsidR="003A2134" w:rsidRPr="003A2134" w:rsidRDefault="003A2134" w:rsidP="003A2134">
            <w:pPr>
              <w:ind w:firstLine="33"/>
              <w:rPr>
                <w:rFonts w:eastAsia="Arial" w:cs="Times New Roman"/>
                <w:szCs w:val="28"/>
              </w:rPr>
            </w:pPr>
            <w:r w:rsidRPr="003A2134">
              <w:rPr>
                <w:rFonts w:eastAsia="Arial" w:cs="Times New Roman"/>
                <w:szCs w:val="28"/>
                <w:lang w:eastAsia="vi-VN"/>
              </w:rPr>
              <w:t>Học viện Quốc tế</w:t>
            </w:r>
          </w:p>
        </w:tc>
        <w:tc>
          <w:tcPr>
            <w:tcW w:w="5523" w:type="dxa"/>
          </w:tcPr>
          <w:p w:rsidR="003A2134" w:rsidRPr="003A2134" w:rsidRDefault="003A2134" w:rsidP="003A2134">
            <w:pPr>
              <w:ind w:firstLine="567"/>
              <w:rPr>
                <w:rFonts w:eastAsia="Arial" w:cs="Times New Roman"/>
                <w:szCs w:val="28"/>
              </w:rPr>
            </w:pPr>
            <w:r w:rsidRPr="003A2134">
              <w:rPr>
                <w:rFonts w:eastAsia="Arial" w:cs="Times New Roman"/>
                <w:szCs w:val="28"/>
                <w:lang w:eastAsia="vi-VN"/>
              </w:rPr>
              <w:t>Xây dựng Đảng và chính quyền nhà nước Ngôn ngữ Anh, Ngôn ngữ Trung Quốc</w:t>
            </w:r>
          </w:p>
        </w:tc>
      </w:tr>
      <w:tr w:rsidR="003A2134" w:rsidRPr="003A2134" w:rsidTr="00CA1B2A">
        <w:tc>
          <w:tcPr>
            <w:tcW w:w="4673" w:type="dxa"/>
            <w:vAlign w:val="center"/>
          </w:tcPr>
          <w:p w:rsidR="003A2134" w:rsidRPr="003A2134" w:rsidRDefault="003A2134" w:rsidP="003A2134">
            <w:pPr>
              <w:ind w:firstLine="33"/>
              <w:rPr>
                <w:rFonts w:eastAsia="Arial" w:cs="Times New Roman"/>
                <w:szCs w:val="28"/>
              </w:rPr>
            </w:pPr>
            <w:r w:rsidRPr="003A2134">
              <w:rPr>
                <w:rFonts w:eastAsia="Arial" w:cs="Times New Roman"/>
                <w:szCs w:val="28"/>
                <w:lang w:eastAsia="vi-VN"/>
              </w:rPr>
              <w:t>Trường Đại học Kỹ thuật - Hậu cần Công an nhân dân</w:t>
            </w:r>
          </w:p>
        </w:tc>
        <w:tc>
          <w:tcPr>
            <w:tcW w:w="5523" w:type="dxa"/>
          </w:tcPr>
          <w:p w:rsidR="003A2134" w:rsidRPr="003A2134" w:rsidRDefault="003A2134" w:rsidP="003A2134">
            <w:pPr>
              <w:ind w:firstLine="567"/>
              <w:rPr>
                <w:rFonts w:eastAsia="Arial" w:cs="Times New Roman"/>
                <w:szCs w:val="28"/>
              </w:rPr>
            </w:pPr>
            <w:r w:rsidRPr="003A2134">
              <w:rPr>
                <w:rFonts w:eastAsia="Arial" w:cs="Times New Roman"/>
                <w:szCs w:val="28"/>
                <w:lang w:eastAsia="vi-VN"/>
              </w:rPr>
              <w:t>Hậu cần Công an nhân dân; Kĩ thuật Công an nhân dân, Trinh sát kĩ thuật</w:t>
            </w:r>
          </w:p>
        </w:tc>
      </w:tr>
      <w:tr w:rsidR="003A2134" w:rsidRPr="003A2134" w:rsidTr="00CA1B2A">
        <w:tc>
          <w:tcPr>
            <w:tcW w:w="4673" w:type="dxa"/>
            <w:vAlign w:val="center"/>
          </w:tcPr>
          <w:p w:rsidR="003A2134" w:rsidRPr="003A2134" w:rsidRDefault="003A2134" w:rsidP="003A2134">
            <w:pPr>
              <w:ind w:firstLine="33"/>
              <w:rPr>
                <w:rFonts w:eastAsia="Arial" w:cs="Times New Roman"/>
                <w:szCs w:val="28"/>
              </w:rPr>
            </w:pPr>
            <w:r w:rsidRPr="003A2134">
              <w:rPr>
                <w:rFonts w:eastAsia="Arial" w:cs="Times New Roman"/>
                <w:szCs w:val="28"/>
                <w:lang w:eastAsia="vi-VN"/>
              </w:rPr>
              <w:t>Trường Đại học Phòng cháy chữa cháy</w:t>
            </w:r>
          </w:p>
        </w:tc>
        <w:tc>
          <w:tcPr>
            <w:tcW w:w="5523" w:type="dxa"/>
          </w:tcPr>
          <w:p w:rsidR="003A2134" w:rsidRPr="003A2134" w:rsidRDefault="003A2134" w:rsidP="003A2134">
            <w:pPr>
              <w:ind w:firstLine="567"/>
              <w:rPr>
                <w:rFonts w:eastAsia="Arial" w:cs="Times New Roman"/>
                <w:szCs w:val="28"/>
              </w:rPr>
            </w:pPr>
            <w:r w:rsidRPr="003A2134">
              <w:rPr>
                <w:rFonts w:eastAsia="Arial" w:cs="Times New Roman"/>
                <w:szCs w:val="28"/>
                <w:lang w:eastAsia="vi-VN"/>
              </w:rPr>
              <w:t>Phòng cháy, chữa cháy và cứu nạn, cứu hộ</w:t>
            </w:r>
          </w:p>
        </w:tc>
      </w:tr>
    </w:tbl>
    <w:p w:rsidR="003A2134" w:rsidRPr="003A2134" w:rsidRDefault="003A2134" w:rsidP="003A2134">
      <w:pPr>
        <w:spacing w:after="0" w:line="360" w:lineRule="auto"/>
        <w:ind w:firstLine="567"/>
        <w:jc w:val="both"/>
        <w:rPr>
          <w:rFonts w:ascii="Times New Roman" w:eastAsia="Arial" w:hAnsi="Times New Roman" w:cs="Times New Roman"/>
          <w:sz w:val="28"/>
          <w:szCs w:val="28"/>
          <w:lang w:val="vi-VN" w:eastAsia="vi-VN"/>
        </w:rPr>
      </w:pPr>
      <w:r w:rsidRPr="003A2134">
        <w:rPr>
          <w:rFonts w:ascii="Times New Roman" w:eastAsia="Arial" w:hAnsi="Times New Roman" w:cs="Times New Roman"/>
          <w:sz w:val="28"/>
          <w:szCs w:val="28"/>
          <w:lang w:val="vi-VN" w:eastAsia="vi-VN"/>
        </w:rPr>
        <w:t>Học viên các trường Công an được học tập về chính trị, khoa học xã hội và nhân văn, pháp luật, ngoại ngữ, tin học, kiến thức, kĩ năng về quốc phòng, an ninh, nghiệp vụ Công an và các môn học đặc thù, võ thuật và các kĩ năng cần thiết khác.</w:t>
      </w:r>
    </w:p>
    <w:sectPr w:rsidR="003A2134" w:rsidRPr="003A21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34"/>
    <w:rsid w:val="003A2134"/>
    <w:rsid w:val="006A59EB"/>
    <w:rsid w:val="008B3D1C"/>
    <w:rsid w:val="00C0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134"/>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134"/>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619</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BÀI 3: CÔNG TÁC TUYỂN SINH ĐÀO TẠO QUÂN ĐỘI CÔNG AN TRONG CÁC TRƯỜNG PHỔ THÔNG</vt:lpstr>
      <vt:lpstr>    </vt:lpstr>
      <vt:lpstr>    </vt:lpstr>
      <vt:lpstr>    I. MỘT SỐ VẤN ĐỀ CHUNG</vt:lpstr>
      <vt:lpstr>    II. CÔNG TÁC TUYỂN SINH, ĐÀO TẠO TRONG CÁC TRƯỜNG QUÂN ĐỘI NHÂN DÂN VIỆT NAM</vt:lpstr>
      <vt:lpstr>    III. CÔNG TÁC TUYỂN SINH, ĐÀO TẠO TRONG CÁC TRƯỜNG CÔNG AN NHÂN DÂN VIỆT NAM</vt:lpstr>
      <vt:lpstr>    1. Hệ thống nhà trường trong Công an</vt:lpstr>
      <vt:lpstr>    2. Tuyển sinh đào tạo trình độ đại học chính quy tuyển mới</vt:lpstr>
      <vt:lpstr>        a) Đối tượng tuyển sinh</vt:lpstr>
      <vt:lpstr>        b) Tiêu chuẩn tuyển sinh</vt:lpstr>
      <vt:lpstr>        c) Các phương thức tuyển sinh</vt:lpstr>
      <vt:lpstr>        đ) Sơ tuyển</vt:lpstr>
      <vt:lpstr>    3. Các trình độ và một số ngành đào tạo trong trường Công an</vt:lpstr>
      <vt:lpstr>        a) Các trình độ được đào tạo</vt:lpstr>
      <vt:lpstr>        b) Một số ngành đào tạo trong một số trường Công an</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2024-09-28T06:30:00Z</dcterms:created>
  <dcterms:modified xsi:type="dcterms:W3CDTF">2024-10-05T13:50:00Z</dcterms:modified>
</cp:coreProperties>
</file>