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59" w:rsidRDefault="00A97B59" w:rsidP="00A97B59">
      <w:pPr>
        <w:spacing w:after="0" w:line="240" w:lineRule="auto"/>
        <w:ind w:right="40" w:firstLine="20"/>
        <w:jc w:val="both"/>
        <w:textAlignment w:val="baseline"/>
        <w:rPr>
          <w:rFonts w:ascii="Arial" w:eastAsia="Times New Roman" w:hAnsi="Arial" w:cs="Arial"/>
          <w:b/>
          <w:bCs/>
          <w:color w:val="000000"/>
          <w:sz w:val="28"/>
          <w:szCs w:val="28"/>
        </w:rPr>
      </w:pPr>
    </w:p>
    <w:p w:rsidR="00A97B59" w:rsidRPr="0070281B" w:rsidRDefault="00FC2B28" w:rsidP="00A97B59">
      <w:pPr>
        <w:spacing w:after="0" w:line="240" w:lineRule="auto"/>
        <w:jc w:val="center"/>
        <w:textAlignment w:val="baseline"/>
        <w:outlineLvl w:val="0"/>
        <w:rPr>
          <w:rFonts w:ascii="Montserrat" w:eastAsia="Times New Roman" w:hAnsi="Montserrat" w:cs="Arial"/>
          <w:b/>
          <w:bCs/>
          <w:color w:val="CC4331"/>
          <w:kern w:val="36"/>
          <w:sz w:val="50"/>
          <w:szCs w:val="50"/>
          <w:lang w:val="en-US"/>
        </w:rPr>
      </w:pPr>
      <w:r>
        <w:rPr>
          <w:rFonts w:ascii="Montserrat" w:eastAsia="Times New Roman" w:hAnsi="Montserrat" w:cs="Arial"/>
          <w:b/>
          <w:bCs/>
          <w:color w:val="CC4331"/>
          <w:kern w:val="36"/>
          <w:sz w:val="50"/>
          <w:szCs w:val="50"/>
          <w:lang w:val="en-US"/>
        </w:rPr>
        <w:t xml:space="preserve">Bài 7 </w:t>
      </w:r>
      <w:bookmarkStart w:id="0" w:name="_GoBack"/>
      <w:bookmarkEnd w:id="0"/>
      <w:r w:rsidR="00A97B59">
        <w:rPr>
          <w:rFonts w:ascii="Montserrat" w:eastAsia="Times New Roman" w:hAnsi="Montserrat" w:cs="Arial"/>
          <w:b/>
          <w:bCs/>
          <w:color w:val="CC4331"/>
          <w:kern w:val="36"/>
          <w:sz w:val="50"/>
          <w:szCs w:val="50"/>
          <w:lang w:val="en-US"/>
        </w:rPr>
        <w:t xml:space="preserve"> :  </w:t>
      </w:r>
      <w:r w:rsidR="00A97B59" w:rsidRPr="0070281B">
        <w:rPr>
          <w:rFonts w:ascii="Montserrat" w:eastAsia="Times New Roman" w:hAnsi="Montserrat" w:cs="Arial"/>
          <w:b/>
          <w:bCs/>
          <w:color w:val="CC4331"/>
          <w:kern w:val="36"/>
          <w:sz w:val="50"/>
          <w:szCs w:val="50"/>
          <w:lang w:val="en-US"/>
        </w:rPr>
        <w:t>Kiến thức phổ thông về phòng không nhân dân.</w:t>
      </w:r>
    </w:p>
    <w:p w:rsidR="00A97B59" w:rsidRDefault="00A97B59" w:rsidP="00A97B59">
      <w:pPr>
        <w:spacing w:after="0" w:line="240" w:lineRule="auto"/>
        <w:ind w:right="40" w:firstLine="20"/>
        <w:jc w:val="both"/>
        <w:textAlignment w:val="baseline"/>
        <w:rPr>
          <w:rFonts w:ascii="Arial" w:eastAsia="Times New Roman" w:hAnsi="Arial" w:cs="Arial"/>
          <w:b/>
          <w:bCs/>
          <w:color w:val="000000"/>
          <w:sz w:val="28"/>
          <w:szCs w:val="28"/>
        </w:rPr>
      </w:pPr>
    </w:p>
    <w:p w:rsidR="00A97B59" w:rsidRDefault="00A97B59" w:rsidP="00A97B59">
      <w:pPr>
        <w:spacing w:after="0" w:line="240" w:lineRule="auto"/>
        <w:ind w:right="40" w:firstLine="20"/>
        <w:jc w:val="both"/>
        <w:textAlignment w:val="baseline"/>
        <w:rPr>
          <w:rFonts w:ascii="Arial" w:eastAsia="Times New Roman" w:hAnsi="Arial" w:cs="Arial"/>
          <w:b/>
          <w:bCs/>
          <w:color w:val="000000"/>
          <w:sz w:val="28"/>
          <w:szCs w:val="28"/>
        </w:rPr>
      </w:pPr>
    </w:p>
    <w:p w:rsidR="00A97B59" w:rsidRDefault="00A97B59" w:rsidP="00A97B59">
      <w:pPr>
        <w:spacing w:after="0" w:line="240" w:lineRule="auto"/>
        <w:ind w:right="40" w:firstLine="20"/>
        <w:jc w:val="both"/>
        <w:textAlignment w:val="baseline"/>
        <w:rPr>
          <w:rFonts w:ascii="Arial" w:eastAsia="Times New Roman" w:hAnsi="Arial" w:cs="Arial"/>
          <w:b/>
          <w:bCs/>
          <w:color w:val="000000"/>
          <w:sz w:val="28"/>
          <w:szCs w:val="28"/>
        </w:rPr>
      </w:pPr>
    </w:p>
    <w:p w:rsidR="00A97B59" w:rsidRDefault="00A97B59" w:rsidP="00A97B59">
      <w:pPr>
        <w:spacing w:after="0" w:line="240" w:lineRule="auto"/>
        <w:ind w:right="40" w:firstLine="20"/>
        <w:jc w:val="both"/>
        <w:textAlignment w:val="baseline"/>
        <w:rPr>
          <w:rFonts w:ascii="Arial" w:eastAsia="Times New Roman" w:hAnsi="Arial" w:cs="Arial"/>
          <w:b/>
          <w:bCs/>
          <w:color w:val="000000"/>
          <w:sz w:val="28"/>
          <w:szCs w:val="28"/>
        </w:rPr>
      </w:pPr>
    </w:p>
    <w:p w:rsidR="00A97B59" w:rsidRDefault="00A97B59" w:rsidP="00A97B59">
      <w:pPr>
        <w:spacing w:after="0" w:line="240" w:lineRule="auto"/>
        <w:ind w:right="40" w:firstLine="20"/>
        <w:jc w:val="both"/>
        <w:textAlignment w:val="baseline"/>
        <w:rPr>
          <w:rFonts w:ascii="Arial" w:eastAsia="Times New Roman" w:hAnsi="Arial" w:cs="Arial"/>
          <w:b/>
          <w:bCs/>
          <w:color w:val="000000"/>
          <w:sz w:val="28"/>
          <w:szCs w:val="28"/>
        </w:rPr>
      </w:pPr>
    </w:p>
    <w:p w:rsidR="00A97B59" w:rsidRPr="0070281B" w:rsidRDefault="00A97B59" w:rsidP="00A97B59">
      <w:pPr>
        <w:spacing w:after="0" w:line="240" w:lineRule="auto"/>
        <w:ind w:right="40" w:firstLine="20"/>
        <w:jc w:val="both"/>
        <w:textAlignment w:val="baseline"/>
        <w:rPr>
          <w:rFonts w:ascii="Montserrat" w:eastAsia="Times New Roman" w:hAnsi="Montserrat" w:cs="Arial"/>
          <w:color w:val="1C1C1C"/>
          <w:sz w:val="24"/>
          <w:szCs w:val="24"/>
          <w:lang w:val="en-US"/>
        </w:rPr>
      </w:pPr>
      <w:r w:rsidRPr="0070281B">
        <w:rPr>
          <w:rFonts w:ascii="Arial" w:eastAsia="Times New Roman" w:hAnsi="Arial" w:cs="Arial"/>
          <w:b/>
          <w:bCs/>
          <w:color w:val="000000"/>
          <w:sz w:val="28"/>
          <w:szCs w:val="28"/>
          <w:lang w:val="en-US"/>
        </w:rPr>
        <w:t>III. Trách nhiệm thực hiện phòng không nhân dân</w:t>
      </w:r>
    </w:p>
    <w:p w:rsidR="00A97B59" w:rsidRPr="0070281B" w:rsidRDefault="00A97B59" w:rsidP="00A97B59">
      <w:pPr>
        <w:spacing w:after="0" w:line="240" w:lineRule="auto"/>
        <w:jc w:val="center"/>
        <w:textAlignment w:val="center"/>
        <w:outlineLvl w:val="2"/>
        <w:rPr>
          <w:rFonts w:ascii="Times New Roman" w:eastAsia="Times New Roman" w:hAnsi="Times New Roman" w:cs="Times New Roman"/>
          <w:b/>
          <w:bCs/>
          <w:color w:val="0000FF"/>
          <w:sz w:val="2"/>
          <w:szCs w:val="2"/>
          <w:lang w:val="en-US"/>
        </w:rPr>
      </w:pPr>
      <w:r w:rsidRPr="0070281B">
        <w:rPr>
          <w:rFonts w:ascii="Montserrat" w:eastAsia="Times New Roman" w:hAnsi="Montserrat" w:cs="Arial"/>
          <w:b/>
          <w:bCs/>
          <w:color w:val="734332"/>
          <w:sz w:val="2"/>
          <w:szCs w:val="2"/>
          <w:lang w:val="en-US"/>
        </w:rPr>
        <w:fldChar w:fldCharType="begin"/>
      </w:r>
      <w:r w:rsidRPr="0070281B">
        <w:rPr>
          <w:rFonts w:ascii="Montserrat" w:eastAsia="Times New Roman" w:hAnsi="Montserrat" w:cs="Arial"/>
          <w:b/>
          <w:bCs/>
          <w:color w:val="734332"/>
          <w:sz w:val="2"/>
          <w:szCs w:val="2"/>
          <w:lang w:val="en-US"/>
        </w:rPr>
        <w:instrText xml:space="preserve"> HYPERLINK "https://sites.google.com/site/datphamgdqp/gdqpan-kh%E1%BB%91i-11/b%C3%A0i-5-ki%E1%BA%BFn-th%E1%BB%A9c-ph%E1%BB%95-th%C3%B4ng-v%E1%BB%81-ph%C3%B2ng-kh%C3%B4ng-nh%C3%A2n-d%C3%A2n" \l "h.kjnkhnh1im9v" </w:instrText>
      </w:r>
      <w:r w:rsidRPr="0070281B">
        <w:rPr>
          <w:rFonts w:ascii="Montserrat" w:eastAsia="Times New Roman" w:hAnsi="Montserrat" w:cs="Arial"/>
          <w:b/>
          <w:bCs/>
          <w:color w:val="734332"/>
          <w:sz w:val="2"/>
          <w:szCs w:val="2"/>
          <w:lang w:val="en-US"/>
        </w:rPr>
        <w:fldChar w:fldCharType="separate"/>
      </w:r>
    </w:p>
    <w:p w:rsidR="00A97B59" w:rsidRPr="0070281B" w:rsidRDefault="00A97B59" w:rsidP="00A97B59">
      <w:pPr>
        <w:spacing w:after="0" w:line="240" w:lineRule="auto"/>
        <w:jc w:val="center"/>
        <w:textAlignment w:val="center"/>
        <w:outlineLvl w:val="2"/>
        <w:rPr>
          <w:rFonts w:ascii="Times New Roman" w:eastAsia="Times New Roman" w:hAnsi="Times New Roman" w:cs="Times New Roman"/>
          <w:b/>
          <w:bCs/>
          <w:color w:val="734332"/>
          <w:sz w:val="27"/>
          <w:szCs w:val="27"/>
          <w:lang w:val="en-US"/>
        </w:rPr>
      </w:pPr>
      <w:r w:rsidRPr="0070281B">
        <w:rPr>
          <w:rFonts w:ascii="Montserrat" w:eastAsia="Times New Roman" w:hAnsi="Montserrat" w:cs="Arial"/>
          <w:b/>
          <w:bCs/>
          <w:color w:val="734332"/>
          <w:sz w:val="2"/>
          <w:szCs w:val="2"/>
          <w:lang w:val="en-US"/>
        </w:rPr>
        <w:fldChar w:fldCharType="end"/>
      </w:r>
    </w:p>
    <w:p w:rsidR="00A97B59" w:rsidRPr="0070281B" w:rsidRDefault="00A97B59" w:rsidP="00A97B59">
      <w:pPr>
        <w:spacing w:after="0" w:line="240" w:lineRule="auto"/>
        <w:jc w:val="both"/>
        <w:textAlignment w:val="baseline"/>
        <w:outlineLvl w:val="2"/>
        <w:rPr>
          <w:rFonts w:ascii="Montserrat" w:eastAsia="Times New Roman" w:hAnsi="Montserrat" w:cs="Arial"/>
          <w:b/>
          <w:bCs/>
          <w:color w:val="734332"/>
          <w:sz w:val="28"/>
          <w:szCs w:val="28"/>
          <w:lang w:val="en-US"/>
        </w:rPr>
      </w:pPr>
      <w:r w:rsidRPr="0070281B">
        <w:rPr>
          <w:rFonts w:ascii="Arial" w:eastAsia="Times New Roman" w:hAnsi="Arial" w:cs="Arial"/>
          <w:b/>
          <w:bCs/>
          <w:color w:val="000000"/>
          <w:sz w:val="28"/>
          <w:szCs w:val="28"/>
          <w:lang w:val="en-US"/>
        </w:rPr>
        <w:t>3.1. Trách nhiệm của công dân</w:t>
      </w:r>
    </w:p>
    <w:p w:rsidR="00A97B59" w:rsidRPr="0070281B" w:rsidRDefault="00A97B59" w:rsidP="00A97B59">
      <w:pPr>
        <w:spacing w:after="0" w:line="240" w:lineRule="auto"/>
        <w:ind w:right="40" w:firstLine="20"/>
        <w:jc w:val="both"/>
        <w:textAlignment w:val="baseline"/>
        <w:rPr>
          <w:rFonts w:ascii="Montserrat" w:eastAsia="Times New Roman" w:hAnsi="Montserrat" w:cs="Arial"/>
          <w:color w:val="1C1C1C"/>
          <w:sz w:val="24"/>
          <w:szCs w:val="24"/>
          <w:lang w:val="en-US"/>
        </w:rPr>
      </w:pPr>
      <w:r w:rsidRPr="0070281B">
        <w:rPr>
          <w:rFonts w:ascii="Arial" w:eastAsia="Times New Roman" w:hAnsi="Arial" w:cs="Arial"/>
          <w:b/>
          <w:bCs/>
          <w:color w:val="000000"/>
          <w:sz w:val="28"/>
          <w:szCs w:val="28"/>
          <w:lang w:val="en-US"/>
        </w:rPr>
        <w:t>- Chấp hành các văn bản pháp luật, văn bản chỉ đạo của cơ quan, chính quyền các cấp về phòng không nhân dân.</w:t>
      </w:r>
    </w:p>
    <w:p w:rsidR="00A97B59" w:rsidRPr="0070281B" w:rsidRDefault="00A97B59" w:rsidP="00A97B59">
      <w:pPr>
        <w:spacing w:after="0" w:line="240" w:lineRule="auto"/>
        <w:ind w:right="40" w:firstLine="20"/>
        <w:jc w:val="both"/>
        <w:textAlignment w:val="baseline"/>
        <w:rPr>
          <w:rFonts w:ascii="Montserrat" w:eastAsia="Times New Roman" w:hAnsi="Montserrat" w:cs="Arial"/>
          <w:color w:val="1C1C1C"/>
          <w:sz w:val="24"/>
          <w:szCs w:val="24"/>
          <w:lang w:val="en-US"/>
        </w:rPr>
      </w:pPr>
      <w:r w:rsidRPr="0070281B">
        <w:rPr>
          <w:rFonts w:ascii="Arial" w:eastAsia="Times New Roman" w:hAnsi="Arial" w:cs="Arial"/>
          <w:b/>
          <w:bCs/>
          <w:color w:val="000000"/>
          <w:sz w:val="28"/>
          <w:szCs w:val="28"/>
          <w:lang w:val="en-US"/>
        </w:rPr>
        <w:t>- Tham gia các tổ (đội) thuộc lực lượng chuyên môn phòng không nhân dân theo yêu cầu của Uỷ ban nhân dân cấp xã, cơ quan, tổ chức và các đơn vị liên quan; thực hiện các nhiệm vụ phòng không nhân dân trong thời bình và trong thời chiến theo phân công của cấp trên.</w:t>
      </w:r>
    </w:p>
    <w:p w:rsidR="00A97B59" w:rsidRPr="0070281B" w:rsidRDefault="00A97B59" w:rsidP="00A97B59">
      <w:pPr>
        <w:spacing w:after="0" w:line="240" w:lineRule="auto"/>
        <w:ind w:right="40" w:firstLine="20"/>
        <w:jc w:val="both"/>
        <w:textAlignment w:val="baseline"/>
        <w:rPr>
          <w:rFonts w:ascii="Montserrat" w:eastAsia="Times New Roman" w:hAnsi="Montserrat" w:cs="Arial"/>
          <w:color w:val="1C1C1C"/>
          <w:sz w:val="24"/>
          <w:szCs w:val="24"/>
          <w:lang w:val="en-US"/>
        </w:rPr>
      </w:pPr>
      <w:r w:rsidRPr="0070281B">
        <w:rPr>
          <w:rFonts w:ascii="Arial" w:eastAsia="Times New Roman" w:hAnsi="Arial" w:cs="Arial"/>
          <w:b/>
          <w:bCs/>
          <w:color w:val="000000"/>
          <w:sz w:val="28"/>
          <w:szCs w:val="28"/>
          <w:lang w:val="en-US"/>
        </w:rPr>
        <w:t>- Tham gia các đợt tuyên truyền, giáo dục về phòng không nhân dân do Ban Chỉ đạo phòng không nhân dân các cấp phối hợp với cơ quan chức năng tổ chức, các khoá huấn luyện về kiến thức phổ thông, chuyên môn nghiệp vụ phòng không nhân dân, đánh trả địch xâm nhập tiến công đường không; diễn tập phòng không nhân dân, diễn tập khu vực phòng thủ của các địa phương.</w:t>
      </w:r>
    </w:p>
    <w:p w:rsidR="00A97B59" w:rsidRPr="0070281B" w:rsidRDefault="00A97B59" w:rsidP="00A97B59">
      <w:pPr>
        <w:spacing w:after="0" w:line="240" w:lineRule="auto"/>
        <w:ind w:right="40" w:firstLine="20"/>
        <w:jc w:val="both"/>
        <w:textAlignment w:val="baseline"/>
        <w:rPr>
          <w:rFonts w:ascii="Montserrat" w:eastAsia="Times New Roman" w:hAnsi="Montserrat" w:cs="Arial"/>
          <w:color w:val="1C1C1C"/>
          <w:sz w:val="24"/>
          <w:szCs w:val="24"/>
          <w:lang w:val="en-US"/>
        </w:rPr>
      </w:pPr>
      <w:r w:rsidRPr="0070281B">
        <w:rPr>
          <w:rFonts w:ascii="Arial" w:eastAsia="Times New Roman" w:hAnsi="Arial" w:cs="Arial"/>
          <w:b/>
          <w:bCs/>
          <w:color w:val="000000"/>
          <w:sz w:val="28"/>
          <w:szCs w:val="28"/>
          <w:lang w:val="en-US"/>
        </w:rPr>
        <w:t>- Tham gia các hoạt động thăm hỏi, động viên, giúp đỡ các gia đình chính sách, gia đình có người đang trực tiếp tham gia chiến đấu bảo vệ vùng trời của Tổ quốc.</w:t>
      </w:r>
    </w:p>
    <w:p w:rsidR="00A97B59" w:rsidRPr="0070281B" w:rsidRDefault="00A97B59" w:rsidP="00A97B59">
      <w:pPr>
        <w:spacing w:after="0" w:line="240" w:lineRule="auto"/>
        <w:jc w:val="center"/>
        <w:textAlignment w:val="center"/>
        <w:outlineLvl w:val="2"/>
        <w:rPr>
          <w:rFonts w:ascii="Times New Roman" w:eastAsia="Times New Roman" w:hAnsi="Times New Roman" w:cs="Times New Roman"/>
          <w:b/>
          <w:bCs/>
          <w:color w:val="0000FF"/>
          <w:sz w:val="2"/>
          <w:szCs w:val="2"/>
          <w:lang w:val="en-US"/>
        </w:rPr>
      </w:pPr>
      <w:r w:rsidRPr="0070281B">
        <w:rPr>
          <w:rFonts w:ascii="Montserrat" w:eastAsia="Times New Roman" w:hAnsi="Montserrat" w:cs="Arial"/>
          <w:b/>
          <w:bCs/>
          <w:color w:val="734332"/>
          <w:sz w:val="2"/>
          <w:szCs w:val="2"/>
          <w:lang w:val="en-US"/>
        </w:rPr>
        <w:fldChar w:fldCharType="begin"/>
      </w:r>
      <w:r w:rsidRPr="0070281B">
        <w:rPr>
          <w:rFonts w:ascii="Montserrat" w:eastAsia="Times New Roman" w:hAnsi="Montserrat" w:cs="Arial"/>
          <w:b/>
          <w:bCs/>
          <w:color w:val="734332"/>
          <w:sz w:val="2"/>
          <w:szCs w:val="2"/>
          <w:lang w:val="en-US"/>
        </w:rPr>
        <w:instrText xml:space="preserve"> HYPERLINK "https://sites.google.com/site/datphamgdqp/gdqpan-kh%E1%BB%91i-11/b%C3%A0i-5-ki%E1%BA%BFn-th%E1%BB%A9c-ph%E1%BB%95-th%C3%B4ng-v%E1%BB%81-ph%C3%B2ng-kh%C3%B4ng-nh%C3%A2n-d%C3%A2n" \l "h.8eardadxlaqq" </w:instrText>
      </w:r>
      <w:r w:rsidRPr="0070281B">
        <w:rPr>
          <w:rFonts w:ascii="Montserrat" w:eastAsia="Times New Roman" w:hAnsi="Montserrat" w:cs="Arial"/>
          <w:b/>
          <w:bCs/>
          <w:color w:val="734332"/>
          <w:sz w:val="2"/>
          <w:szCs w:val="2"/>
          <w:lang w:val="en-US"/>
        </w:rPr>
        <w:fldChar w:fldCharType="separate"/>
      </w:r>
    </w:p>
    <w:p w:rsidR="00A97B59" w:rsidRPr="0070281B" w:rsidRDefault="00A97B59" w:rsidP="00A97B59">
      <w:pPr>
        <w:spacing w:after="0" w:line="240" w:lineRule="auto"/>
        <w:jc w:val="center"/>
        <w:textAlignment w:val="center"/>
        <w:outlineLvl w:val="2"/>
        <w:rPr>
          <w:rFonts w:ascii="Times New Roman" w:eastAsia="Times New Roman" w:hAnsi="Times New Roman" w:cs="Times New Roman"/>
          <w:b/>
          <w:bCs/>
          <w:color w:val="734332"/>
          <w:sz w:val="27"/>
          <w:szCs w:val="27"/>
          <w:lang w:val="en-US"/>
        </w:rPr>
      </w:pPr>
      <w:r w:rsidRPr="0070281B">
        <w:rPr>
          <w:rFonts w:ascii="Montserrat" w:eastAsia="Times New Roman" w:hAnsi="Montserrat" w:cs="Arial"/>
          <w:b/>
          <w:bCs/>
          <w:color w:val="734332"/>
          <w:sz w:val="2"/>
          <w:szCs w:val="2"/>
          <w:lang w:val="en-US"/>
        </w:rPr>
        <w:fldChar w:fldCharType="end"/>
      </w:r>
    </w:p>
    <w:p w:rsidR="00A97B59" w:rsidRPr="0070281B" w:rsidRDefault="00A97B59" w:rsidP="00A97B59">
      <w:pPr>
        <w:spacing w:after="0" w:line="240" w:lineRule="auto"/>
        <w:jc w:val="both"/>
        <w:textAlignment w:val="baseline"/>
        <w:outlineLvl w:val="2"/>
        <w:rPr>
          <w:rFonts w:ascii="Montserrat" w:eastAsia="Times New Roman" w:hAnsi="Montserrat" w:cs="Arial"/>
          <w:b/>
          <w:bCs/>
          <w:color w:val="734332"/>
          <w:sz w:val="28"/>
          <w:szCs w:val="28"/>
          <w:lang w:val="en-US"/>
        </w:rPr>
      </w:pPr>
      <w:r w:rsidRPr="0070281B">
        <w:rPr>
          <w:rFonts w:ascii="Arial" w:eastAsia="Times New Roman" w:hAnsi="Arial" w:cs="Arial"/>
          <w:b/>
          <w:bCs/>
          <w:color w:val="000000"/>
          <w:sz w:val="28"/>
          <w:szCs w:val="28"/>
          <w:lang w:val="en-US"/>
        </w:rPr>
        <w:t>3.2. Trách nhiệm của học sinh</w:t>
      </w:r>
    </w:p>
    <w:p w:rsidR="00A97B59" w:rsidRPr="0070281B" w:rsidRDefault="00A97B59" w:rsidP="00A97B59">
      <w:pPr>
        <w:spacing w:after="0" w:line="240" w:lineRule="auto"/>
        <w:ind w:right="40" w:firstLine="20"/>
        <w:jc w:val="both"/>
        <w:textAlignment w:val="baseline"/>
        <w:rPr>
          <w:rFonts w:ascii="Montserrat" w:eastAsia="Times New Roman" w:hAnsi="Montserrat" w:cs="Arial"/>
          <w:color w:val="1C1C1C"/>
          <w:sz w:val="24"/>
          <w:szCs w:val="24"/>
          <w:lang w:val="en-US"/>
        </w:rPr>
      </w:pPr>
      <w:r w:rsidRPr="0070281B">
        <w:rPr>
          <w:rFonts w:ascii="Arial" w:eastAsia="Times New Roman" w:hAnsi="Arial" w:cs="Arial"/>
          <w:b/>
          <w:bCs/>
          <w:color w:val="000000"/>
          <w:sz w:val="28"/>
          <w:szCs w:val="28"/>
          <w:lang w:val="en-US"/>
        </w:rPr>
        <w:t>- Tham gia học tập đầy đủ chương trình, kế hoạch giáo dục ở trường phổ thông trong thời bình và thời chiến, trong đó có môn học giáo dục quốc phòng và an ninh.</w:t>
      </w:r>
    </w:p>
    <w:p w:rsidR="00A97B59" w:rsidRPr="0070281B" w:rsidRDefault="00A97B59" w:rsidP="00A97B59">
      <w:pPr>
        <w:spacing w:after="0" w:line="240" w:lineRule="auto"/>
        <w:ind w:right="40" w:firstLine="20"/>
        <w:jc w:val="both"/>
        <w:textAlignment w:val="baseline"/>
        <w:rPr>
          <w:rFonts w:ascii="Montserrat" w:eastAsia="Times New Roman" w:hAnsi="Montserrat" w:cs="Arial"/>
          <w:color w:val="1C1C1C"/>
          <w:sz w:val="24"/>
          <w:szCs w:val="24"/>
          <w:lang w:val="en-US"/>
        </w:rPr>
      </w:pPr>
      <w:r w:rsidRPr="0070281B">
        <w:rPr>
          <w:rFonts w:ascii="Arial" w:eastAsia="Times New Roman" w:hAnsi="Arial" w:cs="Arial"/>
          <w:b/>
          <w:bCs/>
          <w:color w:val="000000"/>
          <w:sz w:val="28"/>
          <w:szCs w:val="28"/>
          <w:lang w:val="en-US"/>
        </w:rPr>
        <w:t>- Tham gia xây dựng các công trình phòng không nhân dân như hầm, hào trú ẩn, lớp học.... đảm bảo an toàn cho giáo viên, học sinh nhà trường.</w:t>
      </w:r>
    </w:p>
    <w:p w:rsidR="00A97B59" w:rsidRPr="0070281B" w:rsidRDefault="00A97B59" w:rsidP="00A97B59">
      <w:pPr>
        <w:spacing w:after="0" w:line="240" w:lineRule="auto"/>
        <w:ind w:right="40" w:firstLine="20"/>
        <w:jc w:val="both"/>
        <w:textAlignment w:val="baseline"/>
        <w:rPr>
          <w:rFonts w:ascii="Montserrat" w:eastAsia="Times New Roman" w:hAnsi="Montserrat" w:cs="Arial"/>
          <w:color w:val="1C1C1C"/>
          <w:sz w:val="24"/>
          <w:szCs w:val="24"/>
          <w:lang w:val="en-US"/>
        </w:rPr>
      </w:pPr>
      <w:r w:rsidRPr="0070281B">
        <w:rPr>
          <w:rFonts w:ascii="Arial" w:eastAsia="Times New Roman" w:hAnsi="Arial" w:cs="Arial"/>
          <w:b/>
          <w:bCs/>
          <w:color w:val="000000"/>
          <w:sz w:val="28"/>
          <w:szCs w:val="28"/>
          <w:lang w:val="en-US"/>
        </w:rPr>
        <w:t>- Chấp hành nghiêm quy định để tránh máy bay địch phát hiện như mặc trang phục sẫm màu, đội mũ rơm,...; thực hiện sơ tán, phân tán đến nơi quy định để bảo đảm an toàn tuyệt đối về người, nhanh chóng về hầm trú ẩn khi địch tiến công hỏa lực đường không để phòng tránh bom, đạn, tên lửa hành trình,...</w:t>
      </w:r>
    </w:p>
    <w:p w:rsidR="00A97B59" w:rsidRPr="0070281B" w:rsidRDefault="00A97B59" w:rsidP="00A97B59">
      <w:pPr>
        <w:spacing w:after="0" w:line="240" w:lineRule="auto"/>
        <w:ind w:right="40" w:firstLine="20"/>
        <w:jc w:val="both"/>
        <w:textAlignment w:val="baseline"/>
        <w:rPr>
          <w:rFonts w:ascii="Montserrat" w:eastAsia="Times New Roman" w:hAnsi="Montserrat" w:cs="Arial"/>
          <w:color w:val="1C1C1C"/>
          <w:sz w:val="24"/>
          <w:szCs w:val="24"/>
          <w:lang w:val="en-US"/>
        </w:rPr>
      </w:pPr>
      <w:r w:rsidRPr="0070281B">
        <w:rPr>
          <w:rFonts w:ascii="Arial" w:eastAsia="Times New Roman" w:hAnsi="Arial" w:cs="Arial"/>
          <w:b/>
          <w:bCs/>
          <w:color w:val="000000"/>
          <w:sz w:val="28"/>
          <w:szCs w:val="28"/>
          <w:lang w:val="en-US"/>
        </w:rPr>
        <w:t>- Tham gia các hoạt động khắc phục hậu quả, sửa chữa khôi phục công trình phòng không nhân dân tại nhà trường; cứu sập, cứu nạn, cứu hỏa; vận chuyển người bị thương sau mỗi lần địch đánh phá.</w:t>
      </w:r>
    </w:p>
    <w:p w:rsidR="00E57AF4" w:rsidRDefault="00E57AF4"/>
    <w:sectPr w:rsidR="00E57AF4" w:rsidSect="004E7F17">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59"/>
    <w:rsid w:val="004E7F17"/>
    <w:rsid w:val="00A97B59"/>
    <w:rsid w:val="00E57AF4"/>
    <w:rsid w:val="00FC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59"/>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59"/>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1947</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Bài 6 :  Kiến thức phổ thông về phòng không nhân dân.</vt:lpstr>
      <vt:lpstr>        </vt:lpstr>
      <vt:lpstr>        </vt:lpstr>
      <vt:lpstr>        3.1. Trách nhiệm của công dân</vt:lpstr>
      <vt:lpstr>        </vt:lpstr>
      <vt:lpstr>        </vt:lpstr>
      <vt:lpstr>        3.2. Trách nhiệm của học sinh</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2023-12-29T14:37:00Z</dcterms:created>
  <dcterms:modified xsi:type="dcterms:W3CDTF">2024-10-01T15:39:00Z</dcterms:modified>
</cp:coreProperties>
</file>