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1DF04" w14:textId="546B7A14" w:rsidR="00FF4512" w:rsidRPr="00181666" w:rsidRDefault="00FF4512" w:rsidP="00FF4512">
      <w:pPr>
        <w:ind w:left="1440" w:firstLine="720"/>
        <w:jc w:val="both"/>
        <w:rPr>
          <w:rFonts w:ascii="Times New Roman" w:hAnsi="Times New Roman" w:cs="Times New Roman"/>
          <w:b/>
          <w:bCs/>
          <w:sz w:val="28"/>
          <w:szCs w:val="28"/>
        </w:rPr>
      </w:pPr>
      <w:r w:rsidRPr="00181666">
        <w:rPr>
          <w:rFonts w:ascii="Times New Roman" w:hAnsi="Times New Roman" w:cs="Times New Roman"/>
          <w:b/>
          <w:bCs/>
          <w:sz w:val="28"/>
          <w:szCs w:val="28"/>
        </w:rPr>
        <w:t xml:space="preserve">BÀI TUYÊN TRUYỀN PHÁP LUẬT THÁNG </w:t>
      </w:r>
      <w:r w:rsidR="003135EE">
        <w:rPr>
          <w:rFonts w:ascii="Times New Roman" w:hAnsi="Times New Roman" w:cs="Times New Roman"/>
          <w:b/>
          <w:bCs/>
          <w:sz w:val="28"/>
          <w:szCs w:val="28"/>
        </w:rPr>
        <w:t>0</w:t>
      </w:r>
      <w:r w:rsidRPr="00181666">
        <w:rPr>
          <w:rFonts w:ascii="Times New Roman" w:hAnsi="Times New Roman" w:cs="Times New Roman"/>
          <w:b/>
          <w:bCs/>
          <w:sz w:val="28"/>
          <w:szCs w:val="28"/>
        </w:rPr>
        <w:t>1</w:t>
      </w:r>
      <w:r w:rsidR="003135EE">
        <w:rPr>
          <w:rFonts w:ascii="Times New Roman" w:hAnsi="Times New Roman" w:cs="Times New Roman"/>
          <w:b/>
          <w:bCs/>
          <w:sz w:val="28"/>
          <w:szCs w:val="28"/>
        </w:rPr>
        <w:t>/2025</w:t>
      </w:r>
    </w:p>
    <w:p w14:paraId="541AD8DD" w14:textId="2A59CCC1" w:rsidR="00FF4512" w:rsidRPr="00181666" w:rsidRDefault="00FF4512" w:rsidP="000515D0">
      <w:pPr>
        <w:pStyle w:val="ListParagraph"/>
        <w:numPr>
          <w:ilvl w:val="0"/>
          <w:numId w:val="1"/>
        </w:numPr>
        <w:shd w:val="clear" w:color="auto" w:fill="FFFFFF"/>
        <w:spacing w:line="225" w:lineRule="atLeast"/>
        <w:ind w:left="284" w:hanging="284"/>
        <w:outlineLvl w:val="0"/>
        <w:rPr>
          <w:rFonts w:eastAsia="Times New Roman"/>
          <w:b/>
          <w:bCs/>
          <w:caps/>
          <w:color w:val="000000"/>
          <w:kern w:val="36"/>
          <w:sz w:val="28"/>
          <w:szCs w:val="28"/>
        </w:rPr>
      </w:pPr>
      <w:r w:rsidRPr="00181666">
        <w:rPr>
          <w:rFonts w:eastAsia="Times New Roman"/>
          <w:b/>
          <w:bCs/>
          <w:caps/>
          <w:color w:val="000000"/>
          <w:kern w:val="36"/>
          <w:sz w:val="28"/>
          <w:szCs w:val="28"/>
        </w:rPr>
        <w:t>Thông tư 29/2024/TT-BGDĐT quy định dạy thêm học thêm</w:t>
      </w:r>
    </w:p>
    <w:p w14:paraId="28870327" w14:textId="301A68A1" w:rsidR="00FF4512" w:rsidRPr="00181666" w:rsidRDefault="009E3148" w:rsidP="000515D0">
      <w:pPr>
        <w:ind w:firstLine="284"/>
        <w:jc w:val="both"/>
        <w:rPr>
          <w:rFonts w:ascii="Times New Roman" w:hAnsi="Times New Roman" w:cs="Times New Roman"/>
          <w:sz w:val="28"/>
          <w:szCs w:val="28"/>
        </w:rPr>
      </w:pPr>
      <w:r w:rsidRPr="00880E29">
        <w:rPr>
          <w:rFonts w:ascii="Times New Roman" w:hAnsi="Times New Roman" w:cs="Times New Roman"/>
          <w:b/>
          <w:bCs/>
          <w:color w:val="000000"/>
          <w:sz w:val="28"/>
          <w:szCs w:val="28"/>
          <w:shd w:val="clear" w:color="auto" w:fill="FFFFFF"/>
        </w:rPr>
        <w:t xml:space="preserve">Thông tư này </w:t>
      </w:r>
      <w:r w:rsidR="00CC7ACA" w:rsidRPr="00880E29">
        <w:rPr>
          <w:rFonts w:ascii="Times New Roman" w:hAnsi="Times New Roman" w:cs="Times New Roman"/>
          <w:b/>
          <w:bCs/>
          <w:color w:val="152C4A"/>
          <w:sz w:val="28"/>
          <w:szCs w:val="28"/>
        </w:rPr>
        <w:t>có hiệu lực từ ngày 14/2/2025</w:t>
      </w:r>
      <w:r w:rsidR="00CC7ACA">
        <w:rPr>
          <w:rFonts w:ascii="Times New Roman" w:hAnsi="Times New Roman" w:cs="Times New Roman"/>
          <w:color w:val="152C4A"/>
          <w:sz w:val="28"/>
          <w:szCs w:val="28"/>
        </w:rPr>
        <w:t xml:space="preserve">, </w:t>
      </w:r>
      <w:r w:rsidRPr="00181666">
        <w:rPr>
          <w:rFonts w:ascii="Times New Roman" w:hAnsi="Times New Roman" w:cs="Times New Roman"/>
          <w:color w:val="000000"/>
          <w:sz w:val="28"/>
          <w:szCs w:val="28"/>
          <w:shd w:val="clear" w:color="auto" w:fill="FFFFFF"/>
        </w:rPr>
        <w:t>quy định về dạy thêm, học thêm đối với giáo dục phổ thông, giáo dục thường xuyên, bao gồm: nguyên tắc dạy thêm, học thêm; các trường hợp không được dạy thêm, tổ chức dạy thêm; tổ chức dạy thêm, học thêm; trách nhiệm quản lí hoạt động dạy thêm, học thêm.</w:t>
      </w:r>
      <w:r w:rsidR="00FF4512" w:rsidRPr="00181666">
        <w:rPr>
          <w:rFonts w:ascii="Times New Roman" w:hAnsi="Times New Roman" w:cs="Times New Roman"/>
          <w:sz w:val="28"/>
          <w:szCs w:val="28"/>
        </w:rPr>
        <w:t>.</w:t>
      </w:r>
      <w:r w:rsidRPr="00181666">
        <w:rPr>
          <w:rFonts w:ascii="Times New Roman" w:hAnsi="Times New Roman" w:cs="Times New Roman"/>
          <w:sz w:val="28"/>
          <w:szCs w:val="28"/>
        </w:rPr>
        <w:t xml:space="preserve"> mang lại nhiều ý nghĩa quan trọng trong công tác quản lý giáo dục, bảo vệ quyền lợi của học sinh và nâng cao chất lượng giảng dạy</w:t>
      </w:r>
    </w:p>
    <w:p w14:paraId="10A2B8D9" w14:textId="7348F384" w:rsidR="009E3148" w:rsidRPr="00181666" w:rsidRDefault="009E3148" w:rsidP="000515D0">
      <w:pPr>
        <w:pStyle w:val="NormalWeb"/>
        <w:shd w:val="clear" w:color="auto" w:fill="FFFFFF"/>
        <w:spacing w:before="0" w:beforeAutospacing="0" w:after="0" w:afterAutospacing="0" w:line="234" w:lineRule="atLeast"/>
        <w:ind w:left="720" w:firstLine="720"/>
        <w:rPr>
          <w:color w:val="000000"/>
          <w:sz w:val="28"/>
          <w:szCs w:val="28"/>
        </w:rPr>
      </w:pPr>
      <w:bookmarkStart w:id="0" w:name="chuong_2_name"/>
      <w:r w:rsidRPr="00181666">
        <w:rPr>
          <w:b/>
          <w:bCs/>
          <w:color w:val="000000"/>
          <w:sz w:val="28"/>
          <w:szCs w:val="28"/>
        </w:rPr>
        <w:t>VỀ TỔ CHỨC DẠY THÊM, HỌC THÊM</w:t>
      </w:r>
      <w:bookmarkEnd w:id="0"/>
    </w:p>
    <w:p w14:paraId="4D9A09B7" w14:textId="77777777" w:rsidR="009E3148" w:rsidRPr="00181666" w:rsidRDefault="009E3148" w:rsidP="009E3148">
      <w:pPr>
        <w:pStyle w:val="NormalWeb"/>
        <w:shd w:val="clear" w:color="auto" w:fill="FFFFFF"/>
        <w:spacing w:before="0" w:beforeAutospacing="0" w:after="0" w:afterAutospacing="0" w:line="234" w:lineRule="atLeast"/>
        <w:rPr>
          <w:color w:val="000000"/>
          <w:sz w:val="28"/>
          <w:szCs w:val="28"/>
        </w:rPr>
      </w:pPr>
      <w:bookmarkStart w:id="1" w:name="dieu_5"/>
      <w:r w:rsidRPr="00181666">
        <w:rPr>
          <w:b/>
          <w:bCs/>
          <w:color w:val="000000"/>
          <w:sz w:val="28"/>
          <w:szCs w:val="28"/>
        </w:rPr>
        <w:t>Điều 5. Dạy thêm, học thêm trong nhà trường</w:t>
      </w:r>
      <w:bookmarkEnd w:id="1"/>
    </w:p>
    <w:p w14:paraId="297383C1" w14:textId="77777777" w:rsidR="009E3148" w:rsidRPr="00181666" w:rsidRDefault="009E3148" w:rsidP="009E3148">
      <w:pPr>
        <w:pStyle w:val="NormalWeb"/>
        <w:shd w:val="clear" w:color="auto" w:fill="FFFFFF"/>
        <w:spacing w:before="120" w:beforeAutospacing="0" w:after="120" w:afterAutospacing="0" w:line="234" w:lineRule="atLeast"/>
        <w:rPr>
          <w:color w:val="000000"/>
          <w:sz w:val="28"/>
          <w:szCs w:val="28"/>
        </w:rPr>
      </w:pPr>
      <w:r w:rsidRPr="00181666">
        <w:rPr>
          <w:color w:val="000000"/>
          <w:sz w:val="28"/>
          <w:szCs w:val="28"/>
        </w:rPr>
        <w:t>1. Việc dạy thêm, học thêm trong nhà trường không được thu tiền của học sinh và chỉ dành cho các đối tượng học sinh đăng kí học thêm theo từng môn học như sau:</w:t>
      </w:r>
    </w:p>
    <w:p w14:paraId="4F924786" w14:textId="77777777" w:rsidR="009E3148" w:rsidRPr="00181666" w:rsidRDefault="009E3148" w:rsidP="009E3148">
      <w:pPr>
        <w:pStyle w:val="NormalWeb"/>
        <w:shd w:val="clear" w:color="auto" w:fill="FFFFFF"/>
        <w:spacing w:before="120" w:beforeAutospacing="0" w:after="120" w:afterAutospacing="0" w:line="234" w:lineRule="atLeast"/>
        <w:rPr>
          <w:color w:val="000000"/>
          <w:sz w:val="28"/>
          <w:szCs w:val="28"/>
        </w:rPr>
      </w:pPr>
      <w:r w:rsidRPr="00181666">
        <w:rPr>
          <w:color w:val="000000"/>
          <w:sz w:val="28"/>
          <w:szCs w:val="28"/>
        </w:rPr>
        <w:t>a) Học sinh có kết quả học tập môn học cuối học kì liền kề ở mức chưa đạt;</w:t>
      </w:r>
    </w:p>
    <w:p w14:paraId="39CEB34D" w14:textId="77777777" w:rsidR="009E3148" w:rsidRPr="00181666" w:rsidRDefault="009E3148" w:rsidP="009E3148">
      <w:pPr>
        <w:pStyle w:val="NormalWeb"/>
        <w:shd w:val="clear" w:color="auto" w:fill="FFFFFF"/>
        <w:spacing w:before="120" w:beforeAutospacing="0" w:after="120" w:afterAutospacing="0" w:line="234" w:lineRule="atLeast"/>
        <w:rPr>
          <w:color w:val="000000"/>
          <w:sz w:val="28"/>
          <w:szCs w:val="28"/>
        </w:rPr>
      </w:pPr>
      <w:r w:rsidRPr="00181666">
        <w:rPr>
          <w:color w:val="000000"/>
          <w:sz w:val="28"/>
          <w:szCs w:val="28"/>
        </w:rPr>
        <w:t>b) Học sinh được nhà trường lựa chọn để bồi dưỡng học sinh giỏi;</w:t>
      </w:r>
    </w:p>
    <w:p w14:paraId="49C15FB9" w14:textId="77777777" w:rsidR="009E3148" w:rsidRPr="00181666" w:rsidRDefault="009E3148" w:rsidP="009E3148">
      <w:pPr>
        <w:pStyle w:val="NormalWeb"/>
        <w:shd w:val="clear" w:color="auto" w:fill="FFFFFF"/>
        <w:spacing w:before="120" w:beforeAutospacing="0" w:after="120" w:afterAutospacing="0" w:line="234" w:lineRule="atLeast"/>
        <w:rPr>
          <w:color w:val="000000"/>
          <w:sz w:val="28"/>
          <w:szCs w:val="28"/>
        </w:rPr>
      </w:pPr>
      <w:r w:rsidRPr="00181666">
        <w:rPr>
          <w:color w:val="000000"/>
          <w:sz w:val="28"/>
          <w:szCs w:val="28"/>
        </w:rPr>
        <w:t>c) Học sinh lớp cuối cấp tự nguyện đăng kí ôn thi tuyển sinh, ôn thi tốt nghiệp theo kế hoạch giáo dục của nhà trường.</w:t>
      </w:r>
    </w:p>
    <w:p w14:paraId="1A821261" w14:textId="77777777" w:rsidR="009E3148" w:rsidRPr="00181666" w:rsidRDefault="009E3148" w:rsidP="009E3148">
      <w:pPr>
        <w:pStyle w:val="NormalWeb"/>
        <w:shd w:val="clear" w:color="auto" w:fill="FFFFFF"/>
        <w:spacing w:before="0" w:beforeAutospacing="0" w:after="0" w:afterAutospacing="0" w:line="234" w:lineRule="atLeast"/>
        <w:rPr>
          <w:color w:val="000000"/>
          <w:sz w:val="28"/>
          <w:szCs w:val="28"/>
        </w:rPr>
      </w:pPr>
      <w:r w:rsidRPr="00181666">
        <w:rPr>
          <w:color w:val="000000"/>
          <w:sz w:val="28"/>
          <w:szCs w:val="28"/>
        </w:rPr>
        <w:t>2. Nhà trường tổ chức cho học sinh thuộc đối tượng quy định tại khoản 1 Điều này viết đơn đăng kí học thêm theo từng môn học ở từng khối lớp (theo </w:t>
      </w:r>
      <w:bookmarkStart w:id="2" w:name="bieumau_ms_01"/>
      <w:r w:rsidRPr="00181666">
        <w:rPr>
          <w:color w:val="000000"/>
          <w:sz w:val="28"/>
          <w:szCs w:val="28"/>
        </w:rPr>
        <w:t>Mẫu số 01</w:t>
      </w:r>
      <w:bookmarkEnd w:id="2"/>
      <w:r w:rsidRPr="00181666">
        <w:rPr>
          <w:color w:val="000000"/>
          <w:sz w:val="28"/>
          <w:szCs w:val="28"/>
        </w:rPr>
        <w:t> tại Phụ lục kèm theo Thông tư này).</w:t>
      </w:r>
    </w:p>
    <w:p w14:paraId="0B07C25F" w14:textId="77777777" w:rsidR="009E3148" w:rsidRPr="00181666" w:rsidRDefault="009E3148" w:rsidP="009E3148">
      <w:pPr>
        <w:pStyle w:val="NormalWeb"/>
        <w:shd w:val="clear" w:color="auto" w:fill="FFFFFF"/>
        <w:spacing w:before="120" w:beforeAutospacing="0" w:after="120" w:afterAutospacing="0" w:line="234" w:lineRule="atLeast"/>
        <w:rPr>
          <w:color w:val="000000"/>
          <w:sz w:val="28"/>
          <w:szCs w:val="28"/>
        </w:rPr>
      </w:pPr>
      <w:r w:rsidRPr="00181666">
        <w:rPr>
          <w:color w:val="000000"/>
          <w:sz w:val="28"/>
          <w:szCs w:val="28"/>
        </w:rPr>
        <w:t>3. Căn cứ vào số học sinh đăng kí, nhà trường xây dựng kế hoạch tổ chức dạy thêm đối với từng môn học ở từng khối lớp.</w:t>
      </w:r>
    </w:p>
    <w:p w14:paraId="43B873A7" w14:textId="77777777" w:rsidR="009E3148" w:rsidRPr="00181666" w:rsidRDefault="009E3148" w:rsidP="009E3148">
      <w:pPr>
        <w:pStyle w:val="NormalWeb"/>
        <w:shd w:val="clear" w:color="auto" w:fill="FFFFFF"/>
        <w:spacing w:before="120" w:beforeAutospacing="0" w:after="120" w:afterAutospacing="0" w:line="234" w:lineRule="atLeast"/>
        <w:rPr>
          <w:color w:val="000000"/>
          <w:sz w:val="28"/>
          <w:szCs w:val="28"/>
        </w:rPr>
      </w:pPr>
      <w:r w:rsidRPr="00181666">
        <w:rPr>
          <w:color w:val="000000"/>
          <w:sz w:val="28"/>
          <w:szCs w:val="28"/>
        </w:rPr>
        <w:t>4. Việc xếp lớp, xếp thời khóa biểu và tổ chức dạy thêm, học thêm phải bảo đảm yêu cầu sau:</w:t>
      </w:r>
    </w:p>
    <w:p w14:paraId="1639AFE7" w14:textId="77777777" w:rsidR="009E3148" w:rsidRPr="00181666" w:rsidRDefault="009E3148" w:rsidP="009E3148">
      <w:pPr>
        <w:pStyle w:val="NormalWeb"/>
        <w:shd w:val="clear" w:color="auto" w:fill="FFFFFF"/>
        <w:spacing w:before="120" w:beforeAutospacing="0" w:after="120" w:afterAutospacing="0" w:line="234" w:lineRule="atLeast"/>
        <w:rPr>
          <w:color w:val="000000"/>
          <w:sz w:val="28"/>
          <w:szCs w:val="28"/>
        </w:rPr>
      </w:pPr>
      <w:r w:rsidRPr="00181666">
        <w:rPr>
          <w:color w:val="000000"/>
          <w:sz w:val="28"/>
          <w:szCs w:val="28"/>
        </w:rPr>
        <w:t>a) Lớp dạy thêm được xếp theo môn học đối với từng khối lớp; mỗi lớp có không quá 45 (bốn mươi lăm) học sinh;</w:t>
      </w:r>
    </w:p>
    <w:p w14:paraId="3E1DE96A" w14:textId="77777777" w:rsidR="009E3148" w:rsidRPr="00181666" w:rsidRDefault="009E3148" w:rsidP="009E3148">
      <w:pPr>
        <w:pStyle w:val="NormalWeb"/>
        <w:shd w:val="clear" w:color="auto" w:fill="FFFFFF"/>
        <w:spacing w:before="120" w:beforeAutospacing="0" w:after="120" w:afterAutospacing="0" w:line="234" w:lineRule="atLeast"/>
        <w:rPr>
          <w:color w:val="000000"/>
          <w:sz w:val="28"/>
          <w:szCs w:val="28"/>
        </w:rPr>
      </w:pPr>
      <w:r w:rsidRPr="00181666">
        <w:rPr>
          <w:color w:val="000000"/>
          <w:sz w:val="28"/>
          <w:szCs w:val="28"/>
        </w:rPr>
        <w:t>b) Không xếp giờ dạy thêm xen kẽ với thời khóa biểu và không dạy thêm trước các nội dung so với việc dạy học theo phân phối chương trình môn học trong kế hoạch giáo dục của nhà trường;</w:t>
      </w:r>
    </w:p>
    <w:p w14:paraId="1C905FB3" w14:textId="77777777" w:rsidR="009E3148" w:rsidRPr="00181666" w:rsidRDefault="009E3148" w:rsidP="009E3148">
      <w:pPr>
        <w:pStyle w:val="NormalWeb"/>
        <w:shd w:val="clear" w:color="auto" w:fill="FFFFFF"/>
        <w:spacing w:before="120" w:beforeAutospacing="0" w:after="120" w:afterAutospacing="0" w:line="234" w:lineRule="atLeast"/>
        <w:rPr>
          <w:color w:val="000000"/>
          <w:sz w:val="28"/>
          <w:szCs w:val="28"/>
        </w:rPr>
      </w:pPr>
      <w:r w:rsidRPr="00181666">
        <w:rPr>
          <w:color w:val="000000"/>
          <w:sz w:val="28"/>
          <w:szCs w:val="28"/>
        </w:rPr>
        <w:t>c) Mỗi môn học được tổ chức dạy thêm không quá 02 (hai) tiết/tuần.</w:t>
      </w:r>
    </w:p>
    <w:p w14:paraId="69B427D9" w14:textId="77777777" w:rsidR="009E3148" w:rsidRPr="00181666" w:rsidRDefault="009E3148" w:rsidP="009E3148">
      <w:pPr>
        <w:pStyle w:val="NormalWeb"/>
        <w:shd w:val="clear" w:color="auto" w:fill="FFFFFF"/>
        <w:spacing w:before="120" w:beforeAutospacing="0" w:after="120" w:afterAutospacing="0" w:line="234" w:lineRule="atLeast"/>
        <w:rPr>
          <w:color w:val="000000"/>
          <w:sz w:val="28"/>
          <w:szCs w:val="28"/>
        </w:rPr>
      </w:pPr>
      <w:r w:rsidRPr="00181666">
        <w:rPr>
          <w:color w:val="000000"/>
          <w:sz w:val="28"/>
          <w:szCs w:val="28"/>
        </w:rPr>
        <w:t>5. Kế hoạch tổ chức dạy thêm, học thêm được công khai trên trang thông tin điện tử của nhà trường hoặc niêm yết tại nhà trường.</w:t>
      </w:r>
    </w:p>
    <w:p w14:paraId="7EFA8E26" w14:textId="4A3E4CB8" w:rsidR="00FF4512" w:rsidRPr="00181666" w:rsidRDefault="00AE7C9B" w:rsidP="00FF4512">
      <w:pPr>
        <w:pStyle w:val="Heading2"/>
        <w:shd w:val="clear" w:color="auto" w:fill="FFFFFF"/>
        <w:spacing w:before="0" w:after="150"/>
        <w:rPr>
          <w:rFonts w:ascii="Times New Roman" w:hAnsi="Times New Roman" w:cs="Times New Roman"/>
          <w:color w:val="000000"/>
          <w:sz w:val="28"/>
          <w:szCs w:val="28"/>
        </w:rPr>
      </w:pPr>
      <w:r>
        <w:rPr>
          <w:rStyle w:val="Strong"/>
          <w:rFonts w:ascii="Times New Roman" w:hAnsi="Times New Roman" w:cs="Times New Roman"/>
          <w:color w:val="000000"/>
          <w:sz w:val="28"/>
          <w:szCs w:val="28"/>
        </w:rPr>
        <w:lastRenderedPageBreak/>
        <w:t xml:space="preserve">* </w:t>
      </w:r>
      <w:r w:rsidR="00FF4512" w:rsidRPr="00181666">
        <w:rPr>
          <w:rStyle w:val="Strong"/>
          <w:rFonts w:ascii="Times New Roman" w:hAnsi="Times New Roman" w:cs="Times New Roman"/>
          <w:color w:val="000000"/>
          <w:sz w:val="28"/>
          <w:szCs w:val="28"/>
        </w:rPr>
        <w:t>Quy định mới về dạy thêm, học thêm ngoài nhà trường</w:t>
      </w:r>
    </w:p>
    <w:p w14:paraId="6D2C5019" w14:textId="77777777" w:rsidR="00FF4512" w:rsidRPr="00AE7C9B" w:rsidRDefault="00FF4512" w:rsidP="00FF4512">
      <w:pPr>
        <w:pStyle w:val="NormalWeb"/>
        <w:shd w:val="clear" w:color="auto" w:fill="FFFFFF"/>
        <w:spacing w:before="0" w:beforeAutospacing="0" w:after="150" w:afterAutospacing="0" w:line="384" w:lineRule="atLeast"/>
        <w:rPr>
          <w:b/>
          <w:bCs/>
          <w:color w:val="000000"/>
          <w:sz w:val="28"/>
          <w:szCs w:val="28"/>
        </w:rPr>
      </w:pPr>
      <w:r w:rsidRPr="00AE7C9B">
        <w:rPr>
          <w:b/>
          <w:bCs/>
          <w:color w:val="000000"/>
          <w:sz w:val="28"/>
          <w:szCs w:val="28"/>
        </w:rPr>
        <w:t>Cụ thể, tại Điều 6 Thông tư 29/2024/TT-BGDĐT quy định về dạy thêm, học thêm ngoài nhà trường như sau:</w:t>
      </w:r>
    </w:p>
    <w:p w14:paraId="5809B881" w14:textId="77777777" w:rsidR="00FF4512" w:rsidRPr="00181666" w:rsidRDefault="00FF4512" w:rsidP="00FF4512">
      <w:pPr>
        <w:pStyle w:val="NormalWeb"/>
        <w:shd w:val="clear" w:color="auto" w:fill="FFFFFF"/>
        <w:spacing w:before="0" w:beforeAutospacing="0" w:after="150" w:afterAutospacing="0" w:line="384" w:lineRule="atLeast"/>
        <w:rPr>
          <w:color w:val="000000"/>
          <w:sz w:val="28"/>
          <w:szCs w:val="28"/>
        </w:rPr>
      </w:pPr>
      <w:r w:rsidRPr="00181666">
        <w:rPr>
          <w:color w:val="000000"/>
          <w:sz w:val="28"/>
          <w:szCs w:val="28"/>
        </w:rPr>
        <w:t>- Tổ chức hoặc cá nhân tổ chức hoạt động dạy thêm, học thêm ngoài nhà trường có thu tiền của học sinh (sau đây gọi chung là cơ sở dạy thêm) phải thực hiện các yêu cầu sau:</w:t>
      </w:r>
    </w:p>
    <w:p w14:paraId="07F81C96" w14:textId="77777777" w:rsidR="00FF4512" w:rsidRPr="00181666" w:rsidRDefault="00FF4512" w:rsidP="00FF4512">
      <w:pPr>
        <w:pStyle w:val="NormalWeb"/>
        <w:shd w:val="clear" w:color="auto" w:fill="FFFFFF"/>
        <w:spacing w:before="0" w:beforeAutospacing="0" w:after="150" w:afterAutospacing="0" w:line="384" w:lineRule="atLeast"/>
        <w:rPr>
          <w:color w:val="000000"/>
          <w:sz w:val="28"/>
          <w:szCs w:val="28"/>
        </w:rPr>
      </w:pPr>
      <w:r w:rsidRPr="00181666">
        <w:rPr>
          <w:color w:val="000000"/>
          <w:sz w:val="28"/>
          <w:szCs w:val="28"/>
        </w:rPr>
        <w:t>+ Đăng ký kinh doanh theo quy định của pháp luật;</w:t>
      </w:r>
    </w:p>
    <w:p w14:paraId="546D534C" w14:textId="77777777" w:rsidR="00FF4512" w:rsidRPr="00181666" w:rsidRDefault="00FF4512" w:rsidP="00FF4512">
      <w:pPr>
        <w:pStyle w:val="NormalWeb"/>
        <w:shd w:val="clear" w:color="auto" w:fill="FFFFFF"/>
        <w:spacing w:before="0" w:beforeAutospacing="0" w:after="150" w:afterAutospacing="0" w:line="384" w:lineRule="atLeast"/>
        <w:rPr>
          <w:color w:val="000000"/>
          <w:sz w:val="28"/>
          <w:szCs w:val="28"/>
        </w:rPr>
      </w:pPr>
      <w:r w:rsidRPr="00181666">
        <w:rPr>
          <w:color w:val="000000"/>
          <w:sz w:val="28"/>
          <w:szCs w:val="28"/>
        </w:rPr>
        <w:t>+ Công khai trên cổng thông tin điện tử hoặc niêm yết tại nơi cơ sở dạy thêm đặt trụ sở về các môn học được tổ chức dạy thêm; thời lượng dạy thêm đối với từng môn học theo từng khối lớp; địa điểm, hình thức, thời gian tổ chức dạy thêm, học thêm; danh sách người dạy thêm và mức thu tiền học thêm trước khi tuyển sinh các lớp dạy thêm, học thêm (theo Mẫu số 02 tại Phụ lục kèm theo Thông tư 29/2024)</w:t>
      </w:r>
    </w:p>
    <w:p w14:paraId="01217C48" w14:textId="77777777" w:rsidR="00FF4512" w:rsidRPr="00181666" w:rsidRDefault="00FF4512" w:rsidP="00FF4512">
      <w:pPr>
        <w:pStyle w:val="NormalWeb"/>
        <w:shd w:val="clear" w:color="auto" w:fill="FFFFFF"/>
        <w:spacing w:before="0" w:beforeAutospacing="0" w:after="150" w:afterAutospacing="0" w:line="384" w:lineRule="atLeast"/>
        <w:rPr>
          <w:color w:val="000000"/>
          <w:sz w:val="28"/>
          <w:szCs w:val="28"/>
        </w:rPr>
      </w:pPr>
      <w:r w:rsidRPr="00181666">
        <w:rPr>
          <w:color w:val="000000"/>
          <w:sz w:val="28"/>
          <w:szCs w:val="28"/>
        </w:rPr>
        <w:t>- Người dạy thêm ngoài nhà trường phải bảo đảm có phẩm chất đạo đức tốt; có năng lực chuyên môn phù hợp với môn học tham gia dạy thêm.</w:t>
      </w:r>
    </w:p>
    <w:p w14:paraId="7CA97852" w14:textId="652C46E4" w:rsidR="00FF4512" w:rsidRPr="00181666" w:rsidRDefault="00FF4512" w:rsidP="00FF4512">
      <w:pPr>
        <w:pStyle w:val="NormalWeb"/>
        <w:shd w:val="clear" w:color="auto" w:fill="FFFFFF"/>
        <w:spacing w:before="0" w:beforeAutospacing="0" w:after="150" w:afterAutospacing="0" w:line="384" w:lineRule="atLeast"/>
        <w:rPr>
          <w:color w:val="000000"/>
          <w:sz w:val="28"/>
          <w:szCs w:val="28"/>
        </w:rPr>
      </w:pPr>
      <w:r w:rsidRPr="00181666">
        <w:rPr>
          <w:color w:val="000000"/>
          <w:sz w:val="28"/>
          <w:szCs w:val="28"/>
        </w:rPr>
        <w:t>- Giáo viên đang dạy học tại các nhà trường tham gia dạy thêm ngoài nhà trường phải báo cáo với Hiệu trưởng hoặc Giám đốc hoặc người đứng đầu nhà trường (sau đây gọi chung là Hiệu trưởng) về môn học, địa điểm, hình thức, thời gian tham gia dạy thêm (theo Mẫu số 03 tại Phụ lục kèm theo Thông tư 29/2024).</w:t>
      </w:r>
    </w:p>
    <w:p w14:paraId="04484DD4" w14:textId="2FF9F5F7" w:rsidR="000515D0" w:rsidRPr="00181666" w:rsidRDefault="009E3148" w:rsidP="000515D0">
      <w:pPr>
        <w:pStyle w:val="Heading2"/>
        <w:spacing w:before="0" w:after="120" w:line="420" w:lineRule="atLeast"/>
        <w:rPr>
          <w:rFonts w:ascii="Times New Roman" w:hAnsi="Times New Roman" w:cs="Times New Roman"/>
          <w:color w:val="152C4A"/>
          <w:sz w:val="28"/>
          <w:szCs w:val="28"/>
        </w:rPr>
      </w:pPr>
      <w:r w:rsidRPr="00181666">
        <w:rPr>
          <w:rFonts w:ascii="Times New Roman" w:hAnsi="Times New Roman" w:cs="Times New Roman"/>
          <w:color w:val="auto"/>
          <w:sz w:val="28"/>
          <w:szCs w:val="28"/>
        </w:rPr>
        <w:t>Văn bản luật tham khảo</w:t>
      </w:r>
      <w:r w:rsidRPr="00181666">
        <w:rPr>
          <w:rFonts w:ascii="Times New Roman" w:hAnsi="Times New Roman" w:cs="Times New Roman"/>
          <w:sz w:val="28"/>
          <w:szCs w:val="28"/>
        </w:rPr>
        <w:t xml:space="preserve">: </w:t>
      </w:r>
      <w:r w:rsidR="000515D0" w:rsidRPr="00181666">
        <w:rPr>
          <w:rFonts w:ascii="Times New Roman" w:hAnsi="Times New Roman" w:cs="Times New Roman"/>
          <w:b/>
          <w:bCs/>
          <w:color w:val="000000"/>
          <w:sz w:val="28"/>
          <w:szCs w:val="28"/>
          <w:shd w:val="clear" w:color="auto" w:fill="FFFFFF"/>
        </w:rPr>
        <w:t xml:space="preserve">Thông tư số </w:t>
      </w:r>
      <w:r w:rsidRPr="00181666">
        <w:rPr>
          <w:rFonts w:ascii="Times New Roman" w:hAnsi="Times New Roman" w:cs="Times New Roman"/>
          <w:b/>
          <w:bCs/>
          <w:color w:val="000000"/>
          <w:sz w:val="28"/>
          <w:szCs w:val="28"/>
          <w:shd w:val="clear" w:color="auto" w:fill="FFFFFF"/>
        </w:rPr>
        <w:t>29/2024/TT-BGDĐ</w:t>
      </w:r>
      <w:r w:rsidRPr="00181666">
        <w:rPr>
          <w:rFonts w:ascii="Times New Roman" w:hAnsi="Times New Roman" w:cs="Times New Roman"/>
          <w:color w:val="000000"/>
          <w:sz w:val="28"/>
          <w:szCs w:val="28"/>
          <w:shd w:val="clear" w:color="auto" w:fill="FFFFFF"/>
        </w:rPr>
        <w:t xml:space="preserve">T </w:t>
      </w:r>
      <w:r w:rsidRPr="00181666">
        <w:rPr>
          <w:rFonts w:ascii="Times New Roman" w:hAnsi="Times New Roman" w:cs="Times New Roman"/>
          <w:i/>
          <w:iCs/>
          <w:color w:val="000000"/>
          <w:sz w:val="28"/>
          <w:szCs w:val="28"/>
          <w:shd w:val="clear" w:color="auto" w:fill="FFFFFF"/>
        </w:rPr>
        <w:t>ngày 30 tháng 12 năm 2024</w:t>
      </w:r>
      <w:r w:rsidR="000515D0" w:rsidRPr="00181666">
        <w:rPr>
          <w:rFonts w:ascii="Times New Roman" w:hAnsi="Times New Roman" w:cs="Times New Roman"/>
          <w:i/>
          <w:iCs/>
          <w:color w:val="000000"/>
          <w:sz w:val="28"/>
          <w:szCs w:val="28"/>
          <w:shd w:val="clear" w:color="auto" w:fill="FFFFFF"/>
        </w:rPr>
        <w:t xml:space="preserve"> </w:t>
      </w:r>
    </w:p>
    <w:p w14:paraId="1759A201" w14:textId="21FEC4E0" w:rsidR="000515D0" w:rsidRPr="00181666" w:rsidRDefault="000515D0" w:rsidP="000515D0">
      <w:pPr>
        <w:rPr>
          <w:rFonts w:ascii="Times New Roman" w:hAnsi="Times New Roman" w:cs="Times New Roman"/>
          <w:sz w:val="28"/>
          <w:szCs w:val="28"/>
        </w:rPr>
      </w:pPr>
      <w:r w:rsidRPr="00181666">
        <w:rPr>
          <w:rFonts w:ascii="Times New Roman" w:hAnsi="Times New Roman" w:cs="Times New Roman"/>
          <w:sz w:val="28"/>
          <w:szCs w:val="28"/>
        </w:rPr>
        <w:t xml:space="preserve"> </w:t>
      </w:r>
      <w:r w:rsidR="003135EE">
        <w:rPr>
          <w:rFonts w:ascii="Times New Roman" w:hAnsi="Times New Roman" w:cs="Times New Roman"/>
          <w:sz w:val="28"/>
          <w:szCs w:val="28"/>
        </w:rPr>
        <w:pict w14:anchorId="74600077">
          <v:rect id="_x0000_i1025" style="width:0;height:1.5pt" o:hralign="center" o:hrstd="t" o:hr="t" fillcolor="#a0a0a0" stroked="f"/>
        </w:pict>
      </w:r>
    </w:p>
    <w:p w14:paraId="6EA87690" w14:textId="42D24992" w:rsidR="009E3148" w:rsidRPr="00181666" w:rsidRDefault="000515D0" w:rsidP="000515D0">
      <w:pPr>
        <w:pStyle w:val="NormalWeb"/>
        <w:numPr>
          <w:ilvl w:val="0"/>
          <w:numId w:val="1"/>
        </w:numPr>
        <w:shd w:val="clear" w:color="auto" w:fill="FFFFFF"/>
        <w:spacing w:before="0" w:beforeAutospacing="0" w:after="150" w:afterAutospacing="0" w:line="384" w:lineRule="atLeast"/>
        <w:rPr>
          <w:b/>
          <w:bCs/>
          <w:color w:val="000000"/>
          <w:sz w:val="28"/>
          <w:szCs w:val="28"/>
        </w:rPr>
      </w:pPr>
      <w:r w:rsidRPr="00181666">
        <w:rPr>
          <w:b/>
          <w:bCs/>
          <w:color w:val="000000"/>
          <w:sz w:val="28"/>
          <w:szCs w:val="28"/>
        </w:rPr>
        <w:t>LUẬT ĐẤU THẦU</w:t>
      </w:r>
    </w:p>
    <w:p w14:paraId="185D4C18" w14:textId="330A0527" w:rsidR="000515D0" w:rsidRPr="002D19C0" w:rsidRDefault="00181666" w:rsidP="002D19C0">
      <w:pPr>
        <w:pStyle w:val="NormalWeb"/>
        <w:shd w:val="clear" w:color="auto" w:fill="FFFFFF"/>
        <w:spacing w:before="0" w:beforeAutospacing="0" w:after="150" w:afterAutospacing="0" w:line="384" w:lineRule="atLeast"/>
        <w:ind w:firstLine="284"/>
        <w:jc w:val="both"/>
        <w:rPr>
          <w:b/>
          <w:bCs/>
          <w:color w:val="000000"/>
          <w:sz w:val="28"/>
          <w:szCs w:val="28"/>
        </w:rPr>
      </w:pPr>
      <w:r w:rsidRPr="002D19C0">
        <w:rPr>
          <w:sz w:val="28"/>
          <w:szCs w:val="28"/>
        </w:rPr>
        <w:t xml:space="preserve">Luật Đấu thầu 2023 được ban hành nhằm thay thế Luật Đấu thầu 2013 </w:t>
      </w:r>
      <w:r w:rsidRPr="002D19C0">
        <w:rPr>
          <w:color w:val="000000"/>
          <w:sz w:val="28"/>
          <w:szCs w:val="28"/>
          <w:shd w:val="clear" w:color="auto" w:fill="FFFFFF"/>
        </w:rPr>
        <w:t>có hiệu lực từ ngày 01/01/2024</w:t>
      </w:r>
      <w:r w:rsidRPr="002D19C0">
        <w:rPr>
          <w:sz w:val="28"/>
          <w:szCs w:val="28"/>
        </w:rPr>
        <w:t>, mang lại nhiều ý nghĩa quan trọng trong việc quản lý hoạt động đấu thầu và thúc đẩy sự phát triển bền vững, minh bạch, và hiệu quả trong đầu tư công cũng như các lĩnh vực kinh tế - xã hội.</w:t>
      </w:r>
      <w:r w:rsidRPr="002D19C0">
        <w:rPr>
          <w:color w:val="000000"/>
          <w:sz w:val="28"/>
          <w:szCs w:val="28"/>
          <w:shd w:val="clear" w:color="auto" w:fill="FFFFFF"/>
        </w:rPr>
        <w:t xml:space="preserve"> </w:t>
      </w:r>
    </w:p>
    <w:p w14:paraId="308D775E" w14:textId="77777777" w:rsidR="000515D0" w:rsidRPr="002D19C0" w:rsidRDefault="000515D0" w:rsidP="000515D0">
      <w:pPr>
        <w:pStyle w:val="Heading2"/>
        <w:shd w:val="clear" w:color="auto" w:fill="FFFFFF"/>
        <w:spacing w:before="0" w:after="150"/>
        <w:rPr>
          <w:rFonts w:ascii="Times New Roman" w:hAnsi="Times New Roman" w:cs="Times New Roman"/>
          <w:color w:val="000000"/>
          <w:kern w:val="0"/>
          <w:sz w:val="28"/>
          <w:szCs w:val="28"/>
          <w14:ligatures w14:val="none"/>
        </w:rPr>
      </w:pPr>
      <w:r w:rsidRPr="002D19C0">
        <w:rPr>
          <w:rStyle w:val="Strong"/>
          <w:rFonts w:ascii="Times New Roman" w:hAnsi="Times New Roman" w:cs="Times New Roman"/>
          <w:color w:val="000000"/>
          <w:sz w:val="28"/>
          <w:szCs w:val="28"/>
        </w:rPr>
        <w:t>Luật Đấu thầu 2023 sửa đổi nhiều quy định</w:t>
      </w:r>
    </w:p>
    <w:p w14:paraId="3E292884" w14:textId="77777777" w:rsidR="000515D0" w:rsidRPr="00181666" w:rsidRDefault="000515D0" w:rsidP="000515D0">
      <w:pPr>
        <w:pStyle w:val="NormalWeb"/>
        <w:shd w:val="clear" w:color="auto" w:fill="FFFFFF"/>
        <w:spacing w:before="0" w:beforeAutospacing="0" w:after="0" w:afterAutospacing="0" w:line="384" w:lineRule="atLeast"/>
        <w:rPr>
          <w:b/>
          <w:bCs/>
          <w:color w:val="000000"/>
          <w:sz w:val="28"/>
          <w:szCs w:val="28"/>
        </w:rPr>
      </w:pPr>
      <w:r w:rsidRPr="00181666">
        <w:rPr>
          <w:b/>
          <w:bCs/>
          <w:color w:val="000000"/>
          <w:sz w:val="28"/>
          <w:szCs w:val="28"/>
        </w:rPr>
        <w:t>Theo đó, </w:t>
      </w:r>
      <w:hyperlink r:id="rId5" w:history="1">
        <w:r w:rsidRPr="00181666">
          <w:rPr>
            <w:rStyle w:val="Hyperlink"/>
            <w:b/>
            <w:bCs/>
            <w:color w:val="auto"/>
            <w:sz w:val="28"/>
            <w:szCs w:val="28"/>
            <w:u w:val="none"/>
          </w:rPr>
          <w:t>Luật Đấu thầu 2023</w:t>
        </w:r>
      </w:hyperlink>
      <w:r w:rsidRPr="00181666">
        <w:rPr>
          <w:b/>
          <w:bCs/>
          <w:sz w:val="28"/>
          <w:szCs w:val="28"/>
        </w:rPr>
        <w:t> </w:t>
      </w:r>
      <w:r w:rsidRPr="00181666">
        <w:rPr>
          <w:b/>
          <w:bCs/>
          <w:color w:val="000000"/>
          <w:sz w:val="28"/>
          <w:szCs w:val="28"/>
        </w:rPr>
        <w:t>sửa đổi nhiều quy định đáng chú ý, cụ thể:</w:t>
      </w:r>
    </w:p>
    <w:p w14:paraId="4C0421D9" w14:textId="77777777" w:rsidR="000515D0" w:rsidRPr="00181666" w:rsidRDefault="000515D0" w:rsidP="000515D0">
      <w:pPr>
        <w:pStyle w:val="NormalWeb"/>
        <w:shd w:val="clear" w:color="auto" w:fill="FFFFFF"/>
        <w:spacing w:before="0" w:beforeAutospacing="0" w:after="0" w:afterAutospacing="0" w:line="384" w:lineRule="atLeast"/>
        <w:rPr>
          <w:color w:val="000000"/>
          <w:sz w:val="28"/>
          <w:szCs w:val="28"/>
        </w:rPr>
      </w:pPr>
      <w:r w:rsidRPr="00181666">
        <w:rPr>
          <w:color w:val="000000"/>
          <w:sz w:val="28"/>
          <w:szCs w:val="28"/>
        </w:rPr>
        <w:lastRenderedPageBreak/>
        <w:t>- Sửa đổi, bổ sung quy định về hành vị bị cấm trong hoạt động đấu thầu so với </w:t>
      </w:r>
      <w:hyperlink r:id="rId6" w:history="1">
        <w:r w:rsidRPr="002D19C0">
          <w:rPr>
            <w:rStyle w:val="Hyperlink"/>
            <w:color w:val="auto"/>
            <w:sz w:val="28"/>
            <w:szCs w:val="28"/>
            <w:u w:val="none"/>
          </w:rPr>
          <w:t>Luật Đấu thầu 2013</w:t>
        </w:r>
      </w:hyperlink>
      <w:r w:rsidRPr="002D19C0">
        <w:rPr>
          <w:sz w:val="28"/>
          <w:szCs w:val="28"/>
        </w:rPr>
        <w:t>.</w:t>
      </w:r>
    </w:p>
    <w:p w14:paraId="55937020" w14:textId="77777777" w:rsidR="000515D0" w:rsidRPr="00181666" w:rsidRDefault="000515D0" w:rsidP="000515D0">
      <w:pPr>
        <w:pStyle w:val="NormalWeb"/>
        <w:shd w:val="clear" w:color="auto" w:fill="FFFFFF"/>
        <w:spacing w:before="0" w:beforeAutospacing="0" w:after="0" w:afterAutospacing="0" w:line="384" w:lineRule="atLeast"/>
        <w:rPr>
          <w:color w:val="000000"/>
          <w:sz w:val="28"/>
          <w:szCs w:val="28"/>
        </w:rPr>
      </w:pPr>
      <w:r w:rsidRPr="00181666">
        <w:rPr>
          <w:color w:val="000000"/>
          <w:sz w:val="28"/>
          <w:szCs w:val="28"/>
        </w:rPr>
        <w:t>- Bổ sung một số trường hợp lựa chọn nhà thầu trong trường hợp đặc biệt được quy định tại Quyết định </w:t>
      </w:r>
      <w:hyperlink r:id="rId7" w:history="1">
        <w:r w:rsidRPr="002D19C0">
          <w:rPr>
            <w:rStyle w:val="Hyperlink"/>
            <w:color w:val="auto"/>
            <w:sz w:val="28"/>
            <w:szCs w:val="28"/>
            <w:u w:val="none"/>
          </w:rPr>
          <w:t>17/2019/QĐ-TTg</w:t>
        </w:r>
      </w:hyperlink>
      <w:r w:rsidRPr="00181666">
        <w:rPr>
          <w:color w:val="000000"/>
          <w:sz w:val="28"/>
          <w:szCs w:val="28"/>
        </w:rPr>
        <w:t> của Thủ tướng Chính phủ được áp dụng hình thức chỉ định thầu.</w:t>
      </w:r>
    </w:p>
    <w:p w14:paraId="144163DA" w14:textId="77777777" w:rsidR="000515D0" w:rsidRPr="002D19C0" w:rsidRDefault="000515D0" w:rsidP="000515D0">
      <w:pPr>
        <w:pStyle w:val="NormalWeb"/>
        <w:shd w:val="clear" w:color="auto" w:fill="FFFFFF"/>
        <w:spacing w:before="0" w:beforeAutospacing="0" w:after="0" w:afterAutospacing="0" w:line="384" w:lineRule="atLeast"/>
        <w:rPr>
          <w:sz w:val="28"/>
          <w:szCs w:val="28"/>
        </w:rPr>
      </w:pPr>
      <w:r w:rsidRPr="00181666">
        <w:rPr>
          <w:color w:val="000000"/>
          <w:sz w:val="28"/>
          <w:szCs w:val="28"/>
        </w:rPr>
        <w:t>- Bổ sung quy định về hình thức chào hàng cạnh tranh tại Điều 24 </w:t>
      </w:r>
      <w:hyperlink r:id="rId8" w:history="1">
        <w:r w:rsidRPr="002D19C0">
          <w:rPr>
            <w:rStyle w:val="Hyperlink"/>
            <w:color w:val="auto"/>
            <w:sz w:val="28"/>
            <w:szCs w:val="28"/>
            <w:u w:val="none"/>
          </w:rPr>
          <w:t>Luật Đấu thầu 2023</w:t>
        </w:r>
      </w:hyperlink>
      <w:r w:rsidRPr="002D19C0">
        <w:rPr>
          <w:sz w:val="28"/>
          <w:szCs w:val="28"/>
        </w:rPr>
        <w:t>.</w:t>
      </w:r>
    </w:p>
    <w:p w14:paraId="2BA06F13" w14:textId="77777777" w:rsidR="000515D0" w:rsidRPr="00181666" w:rsidRDefault="000515D0" w:rsidP="000515D0">
      <w:pPr>
        <w:pStyle w:val="NormalWeb"/>
        <w:shd w:val="clear" w:color="auto" w:fill="FFFFFF"/>
        <w:spacing w:before="0" w:beforeAutospacing="0" w:after="150" w:afterAutospacing="0" w:line="384" w:lineRule="atLeast"/>
        <w:rPr>
          <w:color w:val="000000"/>
          <w:sz w:val="28"/>
          <w:szCs w:val="28"/>
        </w:rPr>
      </w:pPr>
      <w:r w:rsidRPr="00181666">
        <w:rPr>
          <w:color w:val="000000"/>
          <w:sz w:val="28"/>
          <w:szCs w:val="28"/>
        </w:rPr>
        <w:t>- Bổ sung quy định về ưu đãi trong lựa chọn nhà thầu.</w:t>
      </w:r>
    </w:p>
    <w:p w14:paraId="44D1ED51" w14:textId="77777777" w:rsidR="000515D0" w:rsidRPr="00181666" w:rsidRDefault="000515D0" w:rsidP="000515D0">
      <w:pPr>
        <w:pStyle w:val="NormalWeb"/>
        <w:shd w:val="clear" w:color="auto" w:fill="FFFFFF"/>
        <w:spacing w:before="0" w:beforeAutospacing="0" w:after="0" w:afterAutospacing="0" w:line="384" w:lineRule="atLeast"/>
        <w:rPr>
          <w:color w:val="000000"/>
          <w:sz w:val="28"/>
          <w:szCs w:val="28"/>
        </w:rPr>
      </w:pPr>
      <w:r w:rsidRPr="00181666">
        <w:rPr>
          <w:color w:val="000000"/>
          <w:sz w:val="28"/>
          <w:szCs w:val="28"/>
        </w:rPr>
        <w:t>- Bổ sung quy định về giá gói thầu trong kế hoạch lựa chọn nhà thầu tại khoản 2 Điều 39 </w:t>
      </w:r>
      <w:hyperlink r:id="rId9" w:history="1">
        <w:r w:rsidRPr="002D19C0">
          <w:rPr>
            <w:rStyle w:val="Hyperlink"/>
            <w:color w:val="auto"/>
            <w:sz w:val="28"/>
            <w:szCs w:val="28"/>
            <w:u w:val="none"/>
          </w:rPr>
          <w:t>Luật Đấu thầu 2023</w:t>
        </w:r>
      </w:hyperlink>
      <w:r w:rsidRPr="002D19C0">
        <w:rPr>
          <w:sz w:val="28"/>
          <w:szCs w:val="28"/>
        </w:rPr>
        <w:t>.</w:t>
      </w:r>
    </w:p>
    <w:p w14:paraId="448A05DB" w14:textId="77777777" w:rsidR="000515D0" w:rsidRPr="00181666" w:rsidRDefault="000515D0" w:rsidP="000515D0">
      <w:pPr>
        <w:pStyle w:val="NormalWeb"/>
        <w:shd w:val="clear" w:color="auto" w:fill="FFFFFF"/>
        <w:spacing w:before="0" w:beforeAutospacing="0" w:after="150" w:afterAutospacing="0" w:line="384" w:lineRule="atLeast"/>
        <w:rPr>
          <w:color w:val="000000"/>
          <w:sz w:val="28"/>
          <w:szCs w:val="28"/>
        </w:rPr>
      </w:pPr>
      <w:r w:rsidRPr="00181666">
        <w:rPr>
          <w:color w:val="000000"/>
          <w:sz w:val="28"/>
          <w:szCs w:val="28"/>
        </w:rPr>
        <w:t>- Thay đổi mức bảo đảm dự thầu trong hồ sơ mời thầu.</w:t>
      </w:r>
    </w:p>
    <w:p w14:paraId="7E0F7CB2" w14:textId="6E00EDF8" w:rsidR="000515D0" w:rsidRPr="00181666" w:rsidRDefault="000515D0" w:rsidP="000515D0">
      <w:pPr>
        <w:pStyle w:val="NormalWeb"/>
        <w:shd w:val="clear" w:color="auto" w:fill="FFFFFF"/>
        <w:spacing w:before="0" w:beforeAutospacing="0" w:after="150" w:afterAutospacing="0" w:line="384" w:lineRule="atLeast"/>
        <w:rPr>
          <w:color w:val="000000"/>
          <w:sz w:val="28"/>
          <w:szCs w:val="28"/>
        </w:rPr>
      </w:pPr>
      <w:r w:rsidRPr="00181666">
        <w:rPr>
          <w:color w:val="000000"/>
          <w:sz w:val="28"/>
          <w:szCs w:val="28"/>
        </w:rPr>
        <w:t>- Bổ sung chương riêng quy định về đấu thầu trong lĩnh vực y tế</w:t>
      </w:r>
    </w:p>
    <w:p w14:paraId="23D94B3A" w14:textId="14AD3F7D" w:rsidR="000515D0" w:rsidRPr="00181666" w:rsidRDefault="002D19C0" w:rsidP="000515D0">
      <w:pPr>
        <w:pStyle w:val="Heading2"/>
        <w:shd w:val="clear" w:color="auto" w:fill="FFFFFF"/>
        <w:spacing w:before="0" w:after="150"/>
        <w:rPr>
          <w:rFonts w:ascii="Times New Roman" w:hAnsi="Times New Roman" w:cs="Times New Roman"/>
          <w:color w:val="000000"/>
          <w:kern w:val="0"/>
          <w:sz w:val="28"/>
          <w:szCs w:val="28"/>
          <w14:ligatures w14:val="none"/>
        </w:rPr>
      </w:pPr>
      <w:r>
        <w:rPr>
          <w:rStyle w:val="Strong"/>
          <w:rFonts w:ascii="Times New Roman" w:hAnsi="Times New Roman" w:cs="Times New Roman"/>
          <w:b w:val="0"/>
          <w:bCs w:val="0"/>
          <w:color w:val="000000"/>
          <w:sz w:val="28"/>
          <w:szCs w:val="28"/>
        </w:rPr>
        <w:t xml:space="preserve">- </w:t>
      </w:r>
      <w:r w:rsidR="000515D0" w:rsidRPr="00181666">
        <w:rPr>
          <w:rStyle w:val="Strong"/>
          <w:rFonts w:ascii="Times New Roman" w:hAnsi="Times New Roman" w:cs="Times New Roman"/>
          <w:b w:val="0"/>
          <w:bCs w:val="0"/>
          <w:color w:val="000000"/>
          <w:sz w:val="28"/>
          <w:szCs w:val="28"/>
        </w:rPr>
        <w:t>Sửa đổi mức bảo đảm dự thầu trong hồ sơ mời thầu</w:t>
      </w:r>
    </w:p>
    <w:p w14:paraId="1D31731C" w14:textId="2C3250D4" w:rsidR="000515D0" w:rsidRDefault="002D19C0" w:rsidP="000515D0">
      <w:pPr>
        <w:pStyle w:val="Heading2"/>
        <w:shd w:val="clear" w:color="auto" w:fill="FFFFFF"/>
        <w:spacing w:before="0" w:after="150"/>
        <w:rPr>
          <w:rStyle w:val="Strong"/>
          <w:rFonts w:ascii="Times New Roman" w:hAnsi="Times New Roman" w:cs="Times New Roman"/>
          <w:b w:val="0"/>
          <w:bCs w:val="0"/>
          <w:color w:val="000000"/>
          <w:sz w:val="28"/>
          <w:szCs w:val="28"/>
        </w:rPr>
      </w:pPr>
      <w:r>
        <w:rPr>
          <w:rStyle w:val="Strong"/>
          <w:rFonts w:ascii="Times New Roman" w:hAnsi="Times New Roman" w:cs="Times New Roman"/>
          <w:b w:val="0"/>
          <w:bCs w:val="0"/>
          <w:color w:val="000000"/>
          <w:sz w:val="28"/>
          <w:szCs w:val="28"/>
        </w:rPr>
        <w:t xml:space="preserve">- </w:t>
      </w:r>
      <w:r w:rsidR="000515D0" w:rsidRPr="00181666">
        <w:rPr>
          <w:rStyle w:val="Strong"/>
          <w:rFonts w:ascii="Times New Roman" w:hAnsi="Times New Roman" w:cs="Times New Roman"/>
          <w:b w:val="0"/>
          <w:bCs w:val="0"/>
          <w:color w:val="000000"/>
          <w:sz w:val="28"/>
          <w:szCs w:val="28"/>
        </w:rPr>
        <w:t>Bổ sung quy định về ưu đãi trong lựa chọn nhà thầu</w:t>
      </w:r>
    </w:p>
    <w:p w14:paraId="2153A019" w14:textId="171F516B" w:rsidR="002D19C0" w:rsidRPr="002D19C0" w:rsidRDefault="002D19C0" w:rsidP="002D19C0">
      <w:r w:rsidRPr="00DD5400">
        <w:rPr>
          <w:rFonts w:ascii="Times New Roman" w:eastAsia="Times New Roman" w:hAnsi="Times New Roman" w:cs="Times New Roman"/>
          <w:b/>
          <w:bCs/>
          <w:kern w:val="0"/>
          <w:sz w:val="26"/>
          <w:szCs w:val="26"/>
          <w14:ligatures w14:val="none"/>
        </w:rPr>
        <w:t>Kết luận</w:t>
      </w:r>
      <w:r>
        <w:rPr>
          <w:rFonts w:ascii="Times New Roman" w:eastAsia="Times New Roman" w:hAnsi="Times New Roman" w:cs="Times New Roman"/>
          <w:kern w:val="0"/>
          <w:sz w:val="26"/>
          <w:szCs w:val="26"/>
          <w14:ligatures w14:val="none"/>
        </w:rPr>
        <w:t xml:space="preserve"> : </w:t>
      </w:r>
      <w:r w:rsidRPr="00DD5400">
        <w:rPr>
          <w:rFonts w:ascii="Times New Roman" w:eastAsia="Times New Roman" w:hAnsi="Times New Roman" w:cs="Times New Roman"/>
          <w:kern w:val="0"/>
          <w:sz w:val="26"/>
          <w:szCs w:val="26"/>
          <w14:ligatures w14:val="none"/>
        </w:rPr>
        <w:t xml:space="preserve">Các quy định liên quan đến thi hành Luật </w:t>
      </w:r>
      <w:r>
        <w:rPr>
          <w:rFonts w:ascii="Times New Roman" w:eastAsia="Times New Roman" w:hAnsi="Times New Roman" w:cs="Times New Roman"/>
          <w:kern w:val="0"/>
          <w:sz w:val="26"/>
          <w:szCs w:val="26"/>
          <w14:ligatures w14:val="none"/>
        </w:rPr>
        <w:t>đấu thầu</w:t>
      </w:r>
      <w:r w:rsidRPr="00DD5400">
        <w:rPr>
          <w:rFonts w:ascii="Times New Roman" w:eastAsia="Times New Roman" w:hAnsi="Times New Roman" w:cs="Times New Roman"/>
          <w:kern w:val="0"/>
          <w:sz w:val="26"/>
          <w:szCs w:val="26"/>
          <w14:ligatures w14:val="none"/>
        </w:rPr>
        <w:t xml:space="preserve">, </w:t>
      </w:r>
      <w:r>
        <w:rPr>
          <w:rFonts w:ascii="Times New Roman" w:eastAsia="Times New Roman" w:hAnsi="Times New Roman" w:cs="Times New Roman"/>
          <w:kern w:val="0"/>
          <w:sz w:val="26"/>
          <w:szCs w:val="26"/>
          <w14:ligatures w14:val="none"/>
        </w:rPr>
        <w:t xml:space="preserve">sửa đổi </w:t>
      </w:r>
      <w:r w:rsidRPr="00DD5400">
        <w:rPr>
          <w:rFonts w:ascii="Times New Roman" w:eastAsia="Times New Roman" w:hAnsi="Times New Roman" w:cs="Times New Roman"/>
          <w:kern w:val="0"/>
          <w:sz w:val="26"/>
          <w:szCs w:val="26"/>
          <w14:ligatures w14:val="none"/>
        </w:rPr>
        <w:t>bổ sung một số điều của Luật đã được cụ thể hóa qua các nghị định và thông tư.</w:t>
      </w:r>
    </w:p>
    <w:p w14:paraId="2E2C10D7" w14:textId="51A3A9EC" w:rsidR="000515D0" w:rsidRPr="002D19C0" w:rsidRDefault="00181666" w:rsidP="00AE7C9B">
      <w:pPr>
        <w:pStyle w:val="NormalWeb"/>
        <w:shd w:val="clear" w:color="auto" w:fill="FFFFFF"/>
        <w:spacing w:before="0" w:beforeAutospacing="0" w:after="150" w:afterAutospacing="0" w:line="384" w:lineRule="atLeast"/>
        <w:jc w:val="both"/>
        <w:rPr>
          <w:b/>
          <w:bCs/>
          <w:color w:val="000000"/>
          <w:sz w:val="28"/>
          <w:szCs w:val="28"/>
        </w:rPr>
      </w:pPr>
      <w:r w:rsidRPr="00181666">
        <w:rPr>
          <w:sz w:val="28"/>
          <w:szCs w:val="28"/>
        </w:rPr>
        <w:t xml:space="preserve">Văn bản luật tham khảo: </w:t>
      </w:r>
      <w:r w:rsidRPr="002D19C0">
        <w:rPr>
          <w:b/>
          <w:bCs/>
          <w:color w:val="000000"/>
          <w:sz w:val="28"/>
          <w:szCs w:val="28"/>
          <w:shd w:val="clear" w:color="auto" w:fill="FFFFFF"/>
        </w:rPr>
        <w:t>Luật số: 22/2023/QH15</w:t>
      </w:r>
      <w:r w:rsidR="00AE7C9B">
        <w:rPr>
          <w:b/>
          <w:bCs/>
          <w:color w:val="000000"/>
          <w:sz w:val="28"/>
          <w:szCs w:val="28"/>
          <w:shd w:val="clear" w:color="auto" w:fill="FFFFFF"/>
        </w:rPr>
        <w:t xml:space="preserve"> </w:t>
      </w:r>
      <w:r w:rsidR="00AE7C9B" w:rsidRPr="00AE7C9B">
        <w:rPr>
          <w:b/>
          <w:bCs/>
          <w:i/>
          <w:iCs/>
          <w:color w:val="000000"/>
          <w:sz w:val="28"/>
          <w:szCs w:val="28"/>
          <w:shd w:val="clear" w:color="auto" w:fill="FFFFFF"/>
        </w:rPr>
        <w:t>ngày 23 tháng 6 năm 2023</w:t>
      </w:r>
      <w:r w:rsidRPr="002D19C0">
        <w:rPr>
          <w:b/>
          <w:bCs/>
          <w:color w:val="000000"/>
          <w:sz w:val="28"/>
          <w:szCs w:val="28"/>
          <w:shd w:val="clear" w:color="auto" w:fill="FFFFFF"/>
        </w:rPr>
        <w:t>; Nghị định số 24/2024; Các thông tư số 01/2024, số 02/2024, số 05/2024, số 06/2024 , số 07/2024 và số 22/2024</w:t>
      </w:r>
    </w:p>
    <w:p w14:paraId="7CCF1DEB" w14:textId="4B841B3A" w:rsidR="00F35DCC" w:rsidRPr="00181666" w:rsidRDefault="009E3148">
      <w:pPr>
        <w:rPr>
          <w:rFonts w:ascii="Times New Roman" w:hAnsi="Times New Roman" w:cs="Times New Roman"/>
          <w:sz w:val="28"/>
          <w:szCs w:val="28"/>
        </w:rPr>
      </w:pPr>
      <w:r w:rsidRPr="00181666">
        <w:rPr>
          <w:rFonts w:ascii="Times New Roman" w:hAnsi="Times New Roman" w:cs="Times New Roman"/>
          <w:sz w:val="28"/>
          <w:szCs w:val="28"/>
        </w:rPr>
        <w:t xml:space="preserve"> </w:t>
      </w:r>
    </w:p>
    <w:sectPr w:rsidR="00F35DCC" w:rsidRPr="0018166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106AEF"/>
    <w:multiLevelType w:val="hybridMultilevel"/>
    <w:tmpl w:val="CB4A5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512"/>
    <w:rsid w:val="000515D0"/>
    <w:rsid w:val="001455A1"/>
    <w:rsid w:val="00181666"/>
    <w:rsid w:val="001E71F2"/>
    <w:rsid w:val="002D19C0"/>
    <w:rsid w:val="003135EE"/>
    <w:rsid w:val="0033695E"/>
    <w:rsid w:val="00617661"/>
    <w:rsid w:val="00880E29"/>
    <w:rsid w:val="009E3148"/>
    <w:rsid w:val="00AE7C9B"/>
    <w:rsid w:val="00CC7ACA"/>
    <w:rsid w:val="00F35DCC"/>
    <w:rsid w:val="00FF4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01DCE"/>
  <w15:chartTrackingRefBased/>
  <w15:docId w15:val="{3E13B9B2-D1BB-458C-842A-56BFFB8F7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512"/>
    <w:rPr>
      <w:kern w:val="2"/>
      <w14:ligatures w14:val="standardContextual"/>
    </w:rPr>
  </w:style>
  <w:style w:type="paragraph" w:styleId="Heading1">
    <w:name w:val="heading 1"/>
    <w:basedOn w:val="Normal"/>
    <w:link w:val="Heading1Char"/>
    <w:uiPriority w:val="9"/>
    <w:qFormat/>
    <w:rsid w:val="00FF4512"/>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semiHidden/>
    <w:unhideWhenUsed/>
    <w:qFormat/>
    <w:rsid w:val="00FF451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695E"/>
    <w:pPr>
      <w:spacing w:after="0" w:line="240" w:lineRule="auto"/>
      <w:ind w:left="720"/>
      <w:contextualSpacing/>
    </w:pPr>
    <w:rPr>
      <w:rFonts w:ascii="Times New Roman" w:eastAsiaTheme="minorEastAsia" w:hAnsi="Times New Roman" w:cs="Times New Roman"/>
      <w:kern w:val="0"/>
      <w:sz w:val="24"/>
      <w:szCs w:val="24"/>
      <w14:ligatures w14:val="none"/>
    </w:rPr>
  </w:style>
  <w:style w:type="character" w:customStyle="1" w:styleId="Heading1Char">
    <w:name w:val="Heading 1 Char"/>
    <w:basedOn w:val="DefaultParagraphFont"/>
    <w:link w:val="Heading1"/>
    <w:uiPriority w:val="9"/>
    <w:rsid w:val="00FF451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FF4512"/>
    <w:rPr>
      <w:rFonts w:asciiTheme="majorHAnsi" w:eastAsiaTheme="majorEastAsia" w:hAnsiTheme="majorHAnsi" w:cstheme="majorBidi"/>
      <w:color w:val="2F5496" w:themeColor="accent1" w:themeShade="BF"/>
      <w:kern w:val="2"/>
      <w:sz w:val="26"/>
      <w:szCs w:val="26"/>
      <w14:ligatures w14:val="standardContextual"/>
    </w:rPr>
  </w:style>
  <w:style w:type="paragraph" w:styleId="NormalWeb">
    <w:name w:val="Normal (Web)"/>
    <w:basedOn w:val="Normal"/>
    <w:uiPriority w:val="99"/>
    <w:semiHidden/>
    <w:unhideWhenUsed/>
    <w:rsid w:val="00FF451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FF4512"/>
    <w:rPr>
      <w:b/>
      <w:bCs/>
    </w:rPr>
  </w:style>
  <w:style w:type="character" w:styleId="Hyperlink">
    <w:name w:val="Hyperlink"/>
    <w:basedOn w:val="DefaultParagraphFont"/>
    <w:uiPriority w:val="99"/>
    <w:semiHidden/>
    <w:unhideWhenUsed/>
    <w:rsid w:val="000515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49059">
      <w:bodyDiv w:val="1"/>
      <w:marLeft w:val="0"/>
      <w:marRight w:val="0"/>
      <w:marTop w:val="0"/>
      <w:marBottom w:val="0"/>
      <w:divBdr>
        <w:top w:val="none" w:sz="0" w:space="0" w:color="auto"/>
        <w:left w:val="none" w:sz="0" w:space="0" w:color="auto"/>
        <w:bottom w:val="none" w:sz="0" w:space="0" w:color="auto"/>
        <w:right w:val="none" w:sz="0" w:space="0" w:color="auto"/>
      </w:divBdr>
    </w:div>
    <w:div w:id="695158014">
      <w:bodyDiv w:val="1"/>
      <w:marLeft w:val="0"/>
      <w:marRight w:val="0"/>
      <w:marTop w:val="0"/>
      <w:marBottom w:val="0"/>
      <w:divBdr>
        <w:top w:val="none" w:sz="0" w:space="0" w:color="auto"/>
        <w:left w:val="none" w:sz="0" w:space="0" w:color="auto"/>
        <w:bottom w:val="none" w:sz="0" w:space="0" w:color="auto"/>
        <w:right w:val="none" w:sz="0" w:space="0" w:color="auto"/>
      </w:divBdr>
    </w:div>
    <w:div w:id="838277113">
      <w:bodyDiv w:val="1"/>
      <w:marLeft w:val="0"/>
      <w:marRight w:val="0"/>
      <w:marTop w:val="0"/>
      <w:marBottom w:val="0"/>
      <w:divBdr>
        <w:top w:val="none" w:sz="0" w:space="0" w:color="auto"/>
        <w:left w:val="none" w:sz="0" w:space="0" w:color="auto"/>
        <w:bottom w:val="none" w:sz="0" w:space="0" w:color="auto"/>
        <w:right w:val="none" w:sz="0" w:space="0" w:color="auto"/>
      </w:divBdr>
    </w:div>
    <w:div w:id="893081222">
      <w:bodyDiv w:val="1"/>
      <w:marLeft w:val="0"/>
      <w:marRight w:val="0"/>
      <w:marTop w:val="0"/>
      <w:marBottom w:val="0"/>
      <w:divBdr>
        <w:top w:val="none" w:sz="0" w:space="0" w:color="auto"/>
        <w:left w:val="none" w:sz="0" w:space="0" w:color="auto"/>
        <w:bottom w:val="none" w:sz="0" w:space="0" w:color="auto"/>
        <w:right w:val="none" w:sz="0" w:space="0" w:color="auto"/>
      </w:divBdr>
    </w:div>
    <w:div w:id="1104422057">
      <w:bodyDiv w:val="1"/>
      <w:marLeft w:val="0"/>
      <w:marRight w:val="0"/>
      <w:marTop w:val="0"/>
      <w:marBottom w:val="0"/>
      <w:divBdr>
        <w:top w:val="none" w:sz="0" w:space="0" w:color="auto"/>
        <w:left w:val="none" w:sz="0" w:space="0" w:color="auto"/>
        <w:bottom w:val="none" w:sz="0" w:space="0" w:color="auto"/>
        <w:right w:val="none" w:sz="0" w:space="0" w:color="auto"/>
      </w:divBdr>
    </w:div>
    <w:div w:id="1474366106">
      <w:bodyDiv w:val="1"/>
      <w:marLeft w:val="0"/>
      <w:marRight w:val="0"/>
      <w:marTop w:val="0"/>
      <w:marBottom w:val="0"/>
      <w:divBdr>
        <w:top w:val="none" w:sz="0" w:space="0" w:color="auto"/>
        <w:left w:val="none" w:sz="0" w:space="0" w:color="auto"/>
        <w:bottom w:val="none" w:sz="0" w:space="0" w:color="auto"/>
        <w:right w:val="none" w:sz="0" w:space="0" w:color="auto"/>
      </w:divBdr>
    </w:div>
    <w:div w:id="154568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au-tu/Luat-Dau-thau-2023-22-2023-QH15-518805.aspx" TargetMode="External"/><Relationship Id="rId3" Type="http://schemas.openxmlformats.org/officeDocument/2006/relationships/settings" Target="settings.xml"/><Relationship Id="rId7" Type="http://schemas.openxmlformats.org/officeDocument/2006/relationships/hyperlink" Target="https://thuvienphapluat.vn/van-ban/Thuong-mai/Quyet-dinh-17-2019-QD-TTg-mot-so-goi-thau-noi-dung-mua-sam-nham-duy-tri-hoat-dong-thuong-xuyen-411110.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Dau-tu/Luat-dau-thau-2013-215838.aspx" TargetMode="External"/><Relationship Id="rId11" Type="http://schemas.openxmlformats.org/officeDocument/2006/relationships/theme" Target="theme/theme1.xml"/><Relationship Id="rId5" Type="http://schemas.openxmlformats.org/officeDocument/2006/relationships/hyperlink" Target="https://thuvienphapluat.vn/van-ban/Dau-tu/Luat-Dau-thau-2023-22-2023-QH15-518805.asp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huvienphapluat.vn/van-ban/Dau-tu/Luat-Dau-thau-2023-22-2023-QH15-51880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785</Words>
  <Characters>4480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2025-01-08T17:18:00Z</dcterms:created>
  <dcterms:modified xsi:type="dcterms:W3CDTF">2025-01-09T01:32:00Z</dcterms:modified>
</cp:coreProperties>
</file>