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290" w:rsidRPr="00351621" w:rsidRDefault="002F3290" w:rsidP="002F3290">
      <w:pPr>
        <w:spacing w:after="0" w:line="240" w:lineRule="auto"/>
        <w:jc w:val="center"/>
        <w:textAlignment w:val="baseline"/>
        <w:outlineLvl w:val="0"/>
        <w:rPr>
          <w:rFonts w:ascii="Montserrat" w:eastAsia="Times New Roman" w:hAnsi="Montserrat" w:cs="Arial"/>
          <w:b/>
          <w:bCs/>
          <w:color w:val="CC4331"/>
          <w:kern w:val="36"/>
          <w:sz w:val="50"/>
          <w:szCs w:val="50"/>
          <w:lang w:val="en-US"/>
        </w:rPr>
      </w:pPr>
      <w:r>
        <w:rPr>
          <w:rFonts w:ascii="Montserrat" w:eastAsia="Times New Roman" w:hAnsi="Montserrat" w:cs="Arial"/>
          <w:b/>
          <w:bCs/>
          <w:color w:val="CC4331"/>
          <w:kern w:val="36"/>
          <w:sz w:val="50"/>
          <w:szCs w:val="50"/>
          <w:lang w:val="en-US"/>
        </w:rPr>
        <w:t xml:space="preserve">Bài </w:t>
      </w:r>
      <w:r>
        <w:rPr>
          <w:rFonts w:ascii="Montserrat" w:eastAsia="Times New Roman" w:hAnsi="Montserrat" w:cs="Arial"/>
          <w:b/>
          <w:bCs/>
          <w:color w:val="CC4331"/>
          <w:kern w:val="36"/>
          <w:sz w:val="50"/>
          <w:szCs w:val="50"/>
        </w:rPr>
        <w:t>5</w:t>
      </w:r>
      <w:bookmarkStart w:id="0" w:name="_GoBack"/>
      <w:bookmarkEnd w:id="0"/>
      <w:r w:rsidRPr="00351621">
        <w:rPr>
          <w:rFonts w:ascii="Montserrat" w:eastAsia="Times New Roman" w:hAnsi="Montserrat" w:cs="Arial"/>
          <w:b/>
          <w:bCs/>
          <w:color w:val="CC4331"/>
          <w:kern w:val="36"/>
          <w:sz w:val="50"/>
          <w:szCs w:val="50"/>
          <w:lang w:val="en-US"/>
        </w:rPr>
        <w:t>: Pháp luật về quản lý vũ khí, vật liệu nổ, công cụ hỗ trợ. </w:t>
      </w:r>
    </w:p>
    <w:p w:rsidR="002F3290" w:rsidRPr="00351621" w:rsidRDefault="002F3290" w:rsidP="002F3290">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351621">
        <w:rPr>
          <w:rFonts w:ascii="Montserrat" w:eastAsia="Times New Roman" w:hAnsi="Montserrat" w:cs="Arial"/>
          <w:b/>
          <w:bCs/>
          <w:color w:val="734332"/>
          <w:sz w:val="2"/>
          <w:szCs w:val="2"/>
          <w:lang w:val="en-US"/>
        </w:rPr>
        <w:fldChar w:fldCharType="begin"/>
      </w:r>
      <w:r w:rsidRPr="00351621">
        <w:rPr>
          <w:rFonts w:ascii="Montserrat" w:eastAsia="Times New Roman" w:hAnsi="Montserrat" w:cs="Arial"/>
          <w:b/>
          <w:bCs/>
          <w:color w:val="734332"/>
          <w:sz w:val="2"/>
          <w:szCs w:val="2"/>
          <w:lang w:val="en-US"/>
        </w:rPr>
        <w:instrText xml:space="preserve"> HYPERLINK "https://sites.google.com/site/datphamgdqp/gdqpan-kh%E1%BB%91i-11/b%C3%A0i-7-ph%C3%A1p-lu%E1%BA%ADt-v%E1%BB%81-qu%E1%BA%A3n-l%C3%BD-v%C5%A9-kh%C3%AD-v%E1%BA%ADt-li%E1%BB%87u-n%E1%BB%95-c%C3%B4ng-c%E1%BB%A5-h%E1%BB%97-tr%E1%BB%A3" \l "h.o1nyvu2cc676" </w:instrText>
      </w:r>
      <w:r w:rsidRPr="00351621">
        <w:rPr>
          <w:rFonts w:ascii="Montserrat" w:eastAsia="Times New Roman" w:hAnsi="Montserrat" w:cs="Arial"/>
          <w:b/>
          <w:bCs/>
          <w:color w:val="734332"/>
          <w:sz w:val="2"/>
          <w:szCs w:val="2"/>
          <w:lang w:val="en-US"/>
        </w:rPr>
        <w:fldChar w:fldCharType="separate"/>
      </w:r>
    </w:p>
    <w:p w:rsidR="002F3290" w:rsidRPr="00351621" w:rsidRDefault="002F3290" w:rsidP="002F3290">
      <w:pPr>
        <w:spacing w:after="0" w:line="240" w:lineRule="auto"/>
        <w:jc w:val="center"/>
        <w:textAlignment w:val="center"/>
        <w:outlineLvl w:val="1"/>
        <w:rPr>
          <w:rFonts w:ascii="Arial" w:eastAsia="Times New Roman" w:hAnsi="Arial" w:cs="Arial"/>
          <w:color w:val="000000"/>
          <w:sz w:val="27"/>
          <w:szCs w:val="27"/>
          <w:lang w:val="en-US"/>
        </w:rPr>
      </w:pPr>
      <w:r w:rsidRPr="00351621">
        <w:rPr>
          <w:rFonts w:ascii="Montserrat" w:eastAsia="Times New Roman" w:hAnsi="Montserrat" w:cs="Arial"/>
          <w:b/>
          <w:bCs/>
          <w:color w:val="734332"/>
          <w:sz w:val="2"/>
          <w:szCs w:val="2"/>
          <w:lang w:val="en-US"/>
        </w:rPr>
        <w:fldChar w:fldCharType="end"/>
      </w:r>
    </w:p>
    <w:p w:rsidR="002F3290" w:rsidRPr="00351621" w:rsidRDefault="002F3290" w:rsidP="002F3290">
      <w:pPr>
        <w:spacing w:after="0" w:line="240" w:lineRule="auto"/>
        <w:ind w:firstLine="20"/>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7"/>
          <w:szCs w:val="27"/>
          <w:lang w:val="en-US"/>
        </w:rPr>
        <w:t xml:space="preserve"> </w:t>
      </w:r>
    </w:p>
    <w:p w:rsidR="002F3290" w:rsidRPr="00351621" w:rsidRDefault="002F3290" w:rsidP="002F3290">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351621">
        <w:rPr>
          <w:rFonts w:ascii="Montserrat" w:eastAsia="Times New Roman" w:hAnsi="Montserrat" w:cs="Arial"/>
          <w:b/>
          <w:bCs/>
          <w:color w:val="734332"/>
          <w:sz w:val="2"/>
          <w:szCs w:val="2"/>
          <w:lang w:val="en-US"/>
        </w:rPr>
        <w:fldChar w:fldCharType="begin"/>
      </w:r>
      <w:r w:rsidRPr="00351621">
        <w:rPr>
          <w:rFonts w:ascii="Montserrat" w:eastAsia="Times New Roman" w:hAnsi="Montserrat" w:cs="Arial"/>
          <w:b/>
          <w:bCs/>
          <w:color w:val="734332"/>
          <w:sz w:val="2"/>
          <w:szCs w:val="2"/>
          <w:lang w:val="en-US"/>
        </w:rPr>
        <w:instrText xml:space="preserve"> HYPERLINK "https://sites.google.com/site/datphamgdqp/gdqpan-kh%E1%BB%91i-11/b%C3%A0i-7-ph%C3%A1p-lu%E1%BA%ADt-v%E1%BB%81-qu%E1%BA%A3n-l%C3%BD-v%C5%A9-kh%C3%AD-v%E1%BA%ADt-li%E1%BB%87u-n%E1%BB%95-c%C3%B4ng-c%E1%BB%A5-h%E1%BB%97-tr%E1%BB%A3" \l "h.vhip5wlzlphl" </w:instrText>
      </w:r>
      <w:r w:rsidRPr="00351621">
        <w:rPr>
          <w:rFonts w:ascii="Montserrat" w:eastAsia="Times New Roman" w:hAnsi="Montserrat" w:cs="Arial"/>
          <w:b/>
          <w:bCs/>
          <w:color w:val="734332"/>
          <w:sz w:val="2"/>
          <w:szCs w:val="2"/>
          <w:lang w:val="en-US"/>
        </w:rPr>
        <w:fldChar w:fldCharType="separate"/>
      </w:r>
    </w:p>
    <w:p w:rsidR="002F3290" w:rsidRPr="00351621" w:rsidRDefault="002F3290" w:rsidP="002F3290">
      <w:pPr>
        <w:spacing w:after="0" w:line="240" w:lineRule="auto"/>
        <w:jc w:val="center"/>
        <w:textAlignment w:val="center"/>
        <w:outlineLvl w:val="1"/>
        <w:rPr>
          <w:rFonts w:ascii="Times New Roman" w:eastAsia="Times New Roman" w:hAnsi="Times New Roman" w:cs="Times New Roman"/>
          <w:b/>
          <w:bCs/>
          <w:color w:val="734332"/>
          <w:sz w:val="36"/>
          <w:szCs w:val="36"/>
          <w:lang w:val="en-US"/>
        </w:rPr>
      </w:pPr>
      <w:r w:rsidRPr="00351621">
        <w:rPr>
          <w:rFonts w:ascii="Montserrat" w:eastAsia="Times New Roman" w:hAnsi="Montserrat" w:cs="Arial"/>
          <w:b/>
          <w:bCs/>
          <w:color w:val="734332"/>
          <w:sz w:val="2"/>
          <w:szCs w:val="2"/>
          <w:lang w:val="en-US"/>
        </w:rPr>
        <w:fldChar w:fldCharType="end"/>
      </w:r>
    </w:p>
    <w:p w:rsidR="002F3290" w:rsidRPr="00351621" w:rsidRDefault="002F3290" w:rsidP="002F3290">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351621">
        <w:rPr>
          <w:rFonts w:ascii="Montserrat" w:eastAsia="Times New Roman" w:hAnsi="Montserrat" w:cs="Arial"/>
          <w:b/>
          <w:bCs/>
          <w:color w:val="734332"/>
          <w:sz w:val="2"/>
          <w:szCs w:val="2"/>
          <w:lang w:val="en-US"/>
        </w:rPr>
        <w:fldChar w:fldCharType="begin"/>
      </w:r>
      <w:r w:rsidRPr="00351621">
        <w:rPr>
          <w:rFonts w:ascii="Montserrat" w:eastAsia="Times New Roman" w:hAnsi="Montserrat" w:cs="Arial"/>
          <w:b/>
          <w:bCs/>
          <w:color w:val="734332"/>
          <w:sz w:val="2"/>
          <w:szCs w:val="2"/>
          <w:lang w:val="en-US"/>
        </w:rPr>
        <w:instrText xml:space="preserve"> HYPERLINK "https://sites.google.com/site/datphamgdqp/gdqpan-kh%E1%BB%91i-11/b%C3%A0i-7-ph%C3%A1p-lu%E1%BA%ADt-v%E1%BB%81-qu%E1%BA%A3n-l%C3%BD-v%C5%A9-kh%C3%AD-v%E1%BA%ADt-li%E1%BB%87u-n%E1%BB%95-c%C3%B4ng-c%E1%BB%A5-h%E1%BB%97-tr%E1%BB%A3" \l "h.qf6tjz9zdlfr" </w:instrText>
      </w:r>
      <w:r w:rsidRPr="00351621">
        <w:rPr>
          <w:rFonts w:ascii="Montserrat" w:eastAsia="Times New Roman" w:hAnsi="Montserrat" w:cs="Arial"/>
          <w:b/>
          <w:bCs/>
          <w:color w:val="734332"/>
          <w:sz w:val="2"/>
          <w:szCs w:val="2"/>
          <w:lang w:val="en-US"/>
        </w:rPr>
        <w:fldChar w:fldCharType="separate"/>
      </w:r>
    </w:p>
    <w:p w:rsidR="002F3290" w:rsidRPr="00351621" w:rsidRDefault="002F3290" w:rsidP="002F3290">
      <w:pPr>
        <w:spacing w:after="0" w:line="240" w:lineRule="auto"/>
        <w:jc w:val="center"/>
        <w:textAlignment w:val="center"/>
        <w:outlineLvl w:val="1"/>
        <w:rPr>
          <w:rFonts w:ascii="Times New Roman" w:eastAsia="Times New Roman" w:hAnsi="Times New Roman" w:cs="Times New Roman"/>
          <w:b/>
          <w:bCs/>
          <w:color w:val="734332"/>
          <w:sz w:val="36"/>
          <w:szCs w:val="36"/>
          <w:lang w:val="en-US"/>
        </w:rPr>
      </w:pPr>
      <w:r w:rsidRPr="00351621">
        <w:rPr>
          <w:rFonts w:ascii="Montserrat" w:eastAsia="Times New Roman" w:hAnsi="Montserrat" w:cs="Arial"/>
          <w:b/>
          <w:bCs/>
          <w:color w:val="734332"/>
          <w:sz w:val="2"/>
          <w:szCs w:val="2"/>
          <w:lang w:val="en-US"/>
        </w:rPr>
        <w:fldChar w:fldCharType="end"/>
      </w:r>
    </w:p>
    <w:p w:rsidR="002F3290" w:rsidRPr="00351621" w:rsidRDefault="002F3290" w:rsidP="002F3290">
      <w:pPr>
        <w:spacing w:after="0" w:line="240" w:lineRule="auto"/>
        <w:jc w:val="both"/>
        <w:textAlignment w:val="baseline"/>
        <w:outlineLvl w:val="1"/>
        <w:rPr>
          <w:rFonts w:ascii="Montserrat" w:eastAsia="Times New Roman" w:hAnsi="Montserrat" w:cs="Arial"/>
          <w:b/>
          <w:bCs/>
          <w:color w:val="734332"/>
          <w:sz w:val="36"/>
          <w:szCs w:val="36"/>
          <w:lang w:val="en-US"/>
        </w:rPr>
      </w:pPr>
      <w:r w:rsidRPr="00351621">
        <w:rPr>
          <w:rFonts w:ascii="Arial" w:eastAsia="Times New Roman" w:hAnsi="Arial" w:cs="Arial"/>
          <w:b/>
          <w:bCs/>
          <w:color w:val="000000"/>
          <w:sz w:val="28"/>
          <w:szCs w:val="28"/>
          <w:lang w:val="en-US"/>
        </w:rPr>
        <w:t>I. Một số nội dung cơ bản của pháp luật về quản lí, sử dụng vũ khí vật liệu nổ và công cụ hỗ trợ</w:t>
      </w:r>
    </w:p>
    <w:p w:rsidR="002F3290" w:rsidRPr="00351621" w:rsidRDefault="002F3290" w:rsidP="002F3290">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351621">
        <w:rPr>
          <w:rFonts w:ascii="Montserrat" w:eastAsia="Times New Roman" w:hAnsi="Montserrat" w:cs="Arial"/>
          <w:b/>
          <w:bCs/>
          <w:color w:val="734332"/>
          <w:sz w:val="2"/>
          <w:szCs w:val="2"/>
          <w:lang w:val="en-US"/>
        </w:rPr>
        <w:fldChar w:fldCharType="begin"/>
      </w:r>
      <w:r w:rsidRPr="00351621">
        <w:rPr>
          <w:rFonts w:ascii="Montserrat" w:eastAsia="Times New Roman" w:hAnsi="Montserrat" w:cs="Arial"/>
          <w:b/>
          <w:bCs/>
          <w:color w:val="734332"/>
          <w:sz w:val="2"/>
          <w:szCs w:val="2"/>
          <w:lang w:val="en-US"/>
        </w:rPr>
        <w:instrText xml:space="preserve"> HYPERLINK "https://sites.google.com/site/datphamgdqp/gdqpan-kh%E1%BB%91i-11/b%C3%A0i-7-ph%C3%A1p-lu%E1%BA%ADt-v%E1%BB%81-qu%E1%BA%A3n-l%C3%BD-v%C5%A9-kh%C3%AD-v%E1%BA%ADt-li%E1%BB%87u-n%E1%BB%95-c%C3%B4ng-c%E1%BB%A5-h%E1%BB%97-tr%E1%BB%A3" \l "h.8gnnrtocwzg5" </w:instrText>
      </w:r>
      <w:r w:rsidRPr="00351621">
        <w:rPr>
          <w:rFonts w:ascii="Montserrat" w:eastAsia="Times New Roman" w:hAnsi="Montserrat" w:cs="Arial"/>
          <w:b/>
          <w:bCs/>
          <w:color w:val="734332"/>
          <w:sz w:val="2"/>
          <w:szCs w:val="2"/>
          <w:lang w:val="en-US"/>
        </w:rPr>
        <w:fldChar w:fldCharType="separate"/>
      </w:r>
    </w:p>
    <w:p w:rsidR="002F3290" w:rsidRPr="00351621" w:rsidRDefault="002F3290" w:rsidP="002F3290">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351621">
        <w:rPr>
          <w:rFonts w:ascii="Montserrat" w:eastAsia="Times New Roman" w:hAnsi="Montserrat" w:cs="Arial"/>
          <w:b/>
          <w:bCs/>
          <w:color w:val="734332"/>
          <w:sz w:val="2"/>
          <w:szCs w:val="2"/>
          <w:lang w:val="en-US"/>
        </w:rPr>
        <w:fldChar w:fldCharType="end"/>
      </w:r>
    </w:p>
    <w:p w:rsidR="002F3290" w:rsidRPr="00351621" w:rsidRDefault="002F3290" w:rsidP="002F3290">
      <w:pPr>
        <w:spacing w:after="0" w:line="240" w:lineRule="auto"/>
        <w:jc w:val="both"/>
        <w:textAlignment w:val="baseline"/>
        <w:outlineLvl w:val="2"/>
        <w:rPr>
          <w:rFonts w:ascii="Montserrat" w:eastAsia="Times New Roman" w:hAnsi="Montserrat" w:cs="Arial"/>
          <w:b/>
          <w:bCs/>
          <w:color w:val="734332"/>
          <w:sz w:val="28"/>
          <w:szCs w:val="28"/>
          <w:lang w:val="en-US"/>
        </w:rPr>
      </w:pPr>
      <w:r w:rsidRPr="00351621">
        <w:rPr>
          <w:rFonts w:ascii="Arial" w:eastAsia="Times New Roman" w:hAnsi="Arial" w:cs="Arial"/>
          <w:b/>
          <w:bCs/>
          <w:color w:val="000000"/>
          <w:sz w:val="28"/>
          <w:szCs w:val="28"/>
          <w:lang w:val="en-US"/>
        </w:rPr>
        <w:t>1.1. Một số khái niệm</w:t>
      </w:r>
    </w:p>
    <w:p w:rsidR="002F3290" w:rsidRPr="00351621" w:rsidRDefault="002F3290" w:rsidP="002F3290">
      <w:pPr>
        <w:spacing w:after="0" w:line="240" w:lineRule="auto"/>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a) Vũ khí</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8"/>
          <w:szCs w:val="28"/>
          <w:lang w:val="en-US"/>
        </w:rPr>
        <w:t>- Vũ khí là thiết bị, phương tiện hoặc tổ hợp những phương tiện được chế tạo, sản xuất có khả năng gây sát thương, nguy hại cho tính mạng, sức khoẻ của con người, phá huỷ kết cấu vật chất, bao gồm: vũ khí quân dụng, súng săn, vũ khí thô sơ, vũ khí thể thao và vũ khí khác có tính năng, tác dụng tương tự.</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8"/>
          <w:szCs w:val="28"/>
          <w:lang w:val="en-US"/>
        </w:rPr>
        <w:t>- Vũ khí quân dụng gồm hai nhóm:</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8"/>
          <w:szCs w:val="28"/>
          <w:lang w:val="en-US"/>
        </w:rPr>
        <w:t>+ Nhóm 1 là vũ khí được chế tạo, sản xuất bảo đảm tiêu chuẩn kĩ thuật, thiết kế của nhà sản xuất hợp pháp và được trang bị cho các đối tượng mà pháp luật quy định để thi hành công vụ, bao gồm: súng cầm tay, vũ khí hạng nhẹ, vũ khí hạng nặng, bom, mìn, lựu đạn, ngư lôi, thuỷ lôi và đạn sử dụng cho các loại vũ khí này;</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8"/>
          <w:szCs w:val="28"/>
          <w:lang w:val="en-US"/>
        </w:rPr>
        <w:t>+ Nhóm 2 là vũ khí được chế tạo, sản xuất không hợp pháp, có khả năng gây sát thương, nguy hại cho tính mạng, sức khoẻ của con người, phá huỷ kết cấu vật chất tương tự như vũ khí nhóm 1 và không được trang bị cho các đối tượng mà pháp luật quy định để thi hành công vụ.</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8"/>
          <w:szCs w:val="28"/>
          <w:lang w:val="en-US"/>
        </w:rPr>
        <w:t>- Súng săn là súng được chế tạo, sản xuất thủ công hoặc công nghiệp, được sử dụng để săn bắn.</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8"/>
          <w:szCs w:val="28"/>
          <w:lang w:val="en-US"/>
        </w:rPr>
        <w:t>- Vũ khí thô sơ là vũ khí có cấu tạo, nguyên lí hoạt động đơn giản và được chế tạo, sản xuất thủ công hoặc công nghiệp.</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8"/>
          <w:szCs w:val="28"/>
          <w:lang w:val="en-US"/>
        </w:rPr>
        <w:t>- Vũ khí thể thao là vũ khí được chế tạo, sản xuất thủ công hoặc công nghiệp, được sử dụng để luyện tập, thi đấu thể thao.</w:t>
      </w:r>
    </w:p>
    <w:p w:rsidR="002F3290" w:rsidRPr="00351621" w:rsidRDefault="002F3290" w:rsidP="002F3290">
      <w:pPr>
        <w:spacing w:after="0" w:line="240" w:lineRule="auto"/>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b) Vật liệu nổ</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8"/>
          <w:szCs w:val="28"/>
          <w:lang w:val="en-US"/>
        </w:rPr>
        <w:t>- Vật liệu nổ là sản phẩm dưới tác động của xung kích thích ban đầu gây ra phản ứng hoá học nhanh, mạnh, toả nhiệt, sinh khí, phát sáng, tạo ra tiếng nổ, bao gồm thuốc nổ và phụ kiện nổ.</w:t>
      </w:r>
    </w:p>
    <w:p w:rsidR="002F3290" w:rsidRPr="00351621" w:rsidRDefault="002F3290" w:rsidP="002F3290">
      <w:pPr>
        <w:spacing w:after="0" w:line="240" w:lineRule="auto"/>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c) Công cụ hỗ trợ</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8"/>
          <w:szCs w:val="28"/>
          <w:lang w:val="en-US"/>
        </w:rPr>
        <w:t>- Công cụ hỗ trợ là phương tiện, động vật nghiệp vụ được sử dụng để thi hành công vụ, thực hiện nhiệm vụ bảo vệ nhằm hạn chế, ngăn chặn người có hành vi vi phạm pháp luật chống trả, trốn chạy; bảo vệ người thi hành công vụ, người thực hiện nhiệm vụ bảo vệ hoặc báo hiệu khẩn cấp.</w:t>
      </w:r>
    </w:p>
    <w:p w:rsidR="002F3290" w:rsidRPr="00351621" w:rsidRDefault="002F3290" w:rsidP="002F3290">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351621">
        <w:rPr>
          <w:rFonts w:ascii="Montserrat" w:eastAsia="Times New Roman" w:hAnsi="Montserrat" w:cs="Arial"/>
          <w:b/>
          <w:bCs/>
          <w:color w:val="734332"/>
          <w:sz w:val="2"/>
          <w:szCs w:val="2"/>
          <w:lang w:val="en-US"/>
        </w:rPr>
        <w:fldChar w:fldCharType="begin"/>
      </w:r>
      <w:r w:rsidRPr="00351621">
        <w:rPr>
          <w:rFonts w:ascii="Montserrat" w:eastAsia="Times New Roman" w:hAnsi="Montserrat" w:cs="Arial"/>
          <w:b/>
          <w:bCs/>
          <w:color w:val="734332"/>
          <w:sz w:val="2"/>
          <w:szCs w:val="2"/>
          <w:lang w:val="en-US"/>
        </w:rPr>
        <w:instrText xml:space="preserve"> HYPERLINK "https://sites.google.com/site/datphamgdqp/gdqpan-kh%E1%BB%91i-11/b%C3%A0i-7-ph%C3%A1p-lu%E1%BA%ADt-v%E1%BB%81-qu%E1%BA%A3n-l%C3%BD-v%C5%A9-kh%C3%AD-v%E1%BA%ADt-li%E1%BB%87u-n%E1%BB%95-c%C3%B4ng-c%E1%BB%A5-h%E1%BB%97-tr%E1%BB%A3" \l "h.p9xou1dj7lco" </w:instrText>
      </w:r>
      <w:r w:rsidRPr="00351621">
        <w:rPr>
          <w:rFonts w:ascii="Montserrat" w:eastAsia="Times New Roman" w:hAnsi="Montserrat" w:cs="Arial"/>
          <w:b/>
          <w:bCs/>
          <w:color w:val="734332"/>
          <w:sz w:val="2"/>
          <w:szCs w:val="2"/>
          <w:lang w:val="en-US"/>
        </w:rPr>
        <w:fldChar w:fldCharType="separate"/>
      </w:r>
    </w:p>
    <w:p w:rsidR="002F3290" w:rsidRPr="00351621" w:rsidRDefault="002F3290" w:rsidP="002F3290">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351621">
        <w:rPr>
          <w:rFonts w:ascii="Montserrat" w:eastAsia="Times New Roman" w:hAnsi="Montserrat" w:cs="Arial"/>
          <w:b/>
          <w:bCs/>
          <w:color w:val="734332"/>
          <w:sz w:val="2"/>
          <w:szCs w:val="2"/>
          <w:lang w:val="en-US"/>
        </w:rPr>
        <w:fldChar w:fldCharType="end"/>
      </w:r>
    </w:p>
    <w:p w:rsidR="002F3290" w:rsidRPr="00351621" w:rsidRDefault="002F3290" w:rsidP="002F3290">
      <w:pPr>
        <w:spacing w:after="0" w:line="240" w:lineRule="auto"/>
        <w:jc w:val="both"/>
        <w:textAlignment w:val="baseline"/>
        <w:outlineLvl w:val="2"/>
        <w:rPr>
          <w:rFonts w:ascii="Montserrat" w:eastAsia="Times New Roman" w:hAnsi="Montserrat" w:cs="Arial"/>
          <w:b/>
          <w:bCs/>
          <w:color w:val="734332"/>
          <w:sz w:val="28"/>
          <w:szCs w:val="28"/>
          <w:lang w:val="en-US"/>
        </w:rPr>
      </w:pPr>
      <w:r w:rsidRPr="00351621">
        <w:rPr>
          <w:rFonts w:ascii="Arial" w:eastAsia="Times New Roman" w:hAnsi="Arial" w:cs="Arial"/>
          <w:b/>
          <w:bCs/>
          <w:color w:val="000000"/>
          <w:sz w:val="28"/>
          <w:szCs w:val="28"/>
          <w:lang w:val="en-US"/>
        </w:rPr>
        <w:t>1.2. Một số nguyên tắc quản lí, sử dụng vũ khí, vật liệu nổ và công cụ hỗ trợ</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lastRenderedPageBreak/>
        <w:t>- Tuân thủ Hiến pháp và pháp luật của nước Cộng hoà xã hội chủ nghĩa Việt Nam.</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 Sử dụng vũ khí, vật liệu nổ, công cụ hỗ trợ phải bảo đảm đúng mục đích, đúng quy định của pháp luật.</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 Trang bị vũ khí, vật liệu nổ, công cụ hỗ trợ phải đúng thẩm quyền, đối tượng theo quy định.</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 Nghiên cứu, chế tạo, sản xuất, kinh doanh, trang bị, mang, xuất khẩu, nhập khẩu, vận chuyển, sửa chữa, sử dụng vũ khí, vật liệu nổ, công cụ hỗ trợ phải được cơ quan có thẩm quyền cấp giấy phép, giấy xác nhận.</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 Vũ khí, vật liệu nổ, công cụ hỗ trợ không còn nhu cầu sử dụng, hết hạn sử dụng hoặc không còn khả năng sử dụng phải được thu hồi, thanh lí hoặc tiêu hủy.</w:t>
      </w:r>
    </w:p>
    <w:p w:rsidR="002F3290" w:rsidRPr="00351621" w:rsidRDefault="002F3290" w:rsidP="002F3290">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351621">
        <w:rPr>
          <w:rFonts w:ascii="Montserrat" w:eastAsia="Times New Roman" w:hAnsi="Montserrat" w:cs="Arial"/>
          <w:b/>
          <w:bCs/>
          <w:color w:val="734332"/>
          <w:sz w:val="2"/>
          <w:szCs w:val="2"/>
          <w:lang w:val="en-US"/>
        </w:rPr>
        <w:fldChar w:fldCharType="begin"/>
      </w:r>
      <w:r w:rsidRPr="00351621">
        <w:rPr>
          <w:rFonts w:ascii="Montserrat" w:eastAsia="Times New Roman" w:hAnsi="Montserrat" w:cs="Arial"/>
          <w:b/>
          <w:bCs/>
          <w:color w:val="734332"/>
          <w:sz w:val="2"/>
          <w:szCs w:val="2"/>
          <w:lang w:val="en-US"/>
        </w:rPr>
        <w:instrText xml:space="preserve"> HYPERLINK "https://sites.google.com/site/datphamgdqp/gdqpan-kh%E1%BB%91i-11/b%C3%A0i-7-ph%C3%A1p-lu%E1%BA%ADt-v%E1%BB%81-qu%E1%BA%A3n-l%C3%BD-v%C5%A9-kh%C3%AD-v%E1%BA%ADt-li%E1%BB%87u-n%E1%BB%95-c%C3%B4ng-c%E1%BB%A5-h%E1%BB%97-tr%E1%BB%A3" \l "h.s3egu8drmmp4" </w:instrText>
      </w:r>
      <w:r w:rsidRPr="00351621">
        <w:rPr>
          <w:rFonts w:ascii="Montserrat" w:eastAsia="Times New Roman" w:hAnsi="Montserrat" w:cs="Arial"/>
          <w:b/>
          <w:bCs/>
          <w:color w:val="734332"/>
          <w:sz w:val="2"/>
          <w:szCs w:val="2"/>
          <w:lang w:val="en-US"/>
        </w:rPr>
        <w:fldChar w:fldCharType="separate"/>
      </w:r>
    </w:p>
    <w:p w:rsidR="002F3290" w:rsidRPr="00351621" w:rsidRDefault="002F3290" w:rsidP="002F3290">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351621">
        <w:rPr>
          <w:rFonts w:ascii="Montserrat" w:eastAsia="Times New Roman" w:hAnsi="Montserrat" w:cs="Arial"/>
          <w:b/>
          <w:bCs/>
          <w:color w:val="734332"/>
          <w:sz w:val="2"/>
          <w:szCs w:val="2"/>
          <w:lang w:val="en-US"/>
        </w:rPr>
        <w:fldChar w:fldCharType="end"/>
      </w:r>
    </w:p>
    <w:p w:rsidR="002F3290" w:rsidRPr="00351621" w:rsidRDefault="002F3290" w:rsidP="002F3290">
      <w:pPr>
        <w:spacing w:after="0" w:line="240" w:lineRule="auto"/>
        <w:jc w:val="both"/>
        <w:textAlignment w:val="baseline"/>
        <w:outlineLvl w:val="2"/>
        <w:rPr>
          <w:rFonts w:ascii="Montserrat" w:eastAsia="Times New Roman" w:hAnsi="Montserrat" w:cs="Arial"/>
          <w:b/>
          <w:bCs/>
          <w:color w:val="734332"/>
          <w:sz w:val="28"/>
          <w:szCs w:val="28"/>
          <w:lang w:val="en-US"/>
        </w:rPr>
      </w:pPr>
      <w:r w:rsidRPr="00351621">
        <w:rPr>
          <w:rFonts w:ascii="Arial" w:eastAsia="Times New Roman" w:hAnsi="Arial" w:cs="Arial"/>
          <w:b/>
          <w:bCs/>
          <w:color w:val="000000"/>
          <w:sz w:val="28"/>
          <w:szCs w:val="28"/>
          <w:lang w:val="en-US"/>
        </w:rPr>
        <w:t>1.3. Trang bị, sử dụng vũ khí, vật liệu nổ, công cụ hỗ trợ</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 Đối tượng được trang bị vũ khí quân dụng, vũ khí thể thao, vũ khí thô sơ, công cụ hỗ trợ, bao gồm: Lực lượng vũ trang nhân dân, Cảnh sát biển và một số lực lượng khác theo quy định của pháp luật.</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 Bộ trưởng Bộ Quốc phòng, Bộ trưởng Bộ Công an căn cứ vào tính chất, yêu cầu, nhiệm vụ quy định việc trang bị vũ khí quân dụng, vũ khí thể thao, vũ khí thô sơ, công cụ hỗ trợ cho các đối tượng thuộc phạm vi quản lí.</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 Chỉ các tổ chức, doanh nghiệp đủ điều kiện theo quy định của pháp luật mới được nghiên cứu, chế tạo, sản xuất, kinh doanh, vận chuyển, sử dụng vật liệu nổ.</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 Sử dụng vũ khí quân dụng, vũ khí thể thao, vũ khí thô sơ, công cụ hỗ trợ phải tuân thủ quy định của pháp luật, chỉ sử dụng trong những trường hợp pháp luật quy định.</w:t>
      </w:r>
    </w:p>
    <w:p w:rsidR="002F3290" w:rsidRPr="00351621" w:rsidRDefault="002F3290" w:rsidP="002F3290">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351621">
        <w:rPr>
          <w:rFonts w:ascii="Montserrat" w:eastAsia="Times New Roman" w:hAnsi="Montserrat" w:cs="Arial"/>
          <w:b/>
          <w:bCs/>
          <w:color w:val="734332"/>
          <w:sz w:val="2"/>
          <w:szCs w:val="2"/>
          <w:lang w:val="en-US"/>
        </w:rPr>
        <w:fldChar w:fldCharType="begin"/>
      </w:r>
      <w:r w:rsidRPr="00351621">
        <w:rPr>
          <w:rFonts w:ascii="Montserrat" w:eastAsia="Times New Roman" w:hAnsi="Montserrat" w:cs="Arial"/>
          <w:b/>
          <w:bCs/>
          <w:color w:val="734332"/>
          <w:sz w:val="2"/>
          <w:szCs w:val="2"/>
          <w:lang w:val="en-US"/>
        </w:rPr>
        <w:instrText xml:space="preserve"> HYPERLINK "https://sites.google.com/site/datphamgdqp/gdqpan-kh%E1%BB%91i-11/b%C3%A0i-7-ph%C3%A1p-lu%E1%BA%ADt-v%E1%BB%81-qu%E1%BA%A3n-l%C3%BD-v%C5%A9-kh%C3%AD-v%E1%BA%ADt-li%E1%BB%87u-n%E1%BB%95-c%C3%B4ng-c%E1%BB%A5-h%E1%BB%97-tr%E1%BB%A3" \l "h.y05hmptb00kl" </w:instrText>
      </w:r>
      <w:r w:rsidRPr="00351621">
        <w:rPr>
          <w:rFonts w:ascii="Montserrat" w:eastAsia="Times New Roman" w:hAnsi="Montserrat" w:cs="Arial"/>
          <w:b/>
          <w:bCs/>
          <w:color w:val="734332"/>
          <w:sz w:val="2"/>
          <w:szCs w:val="2"/>
          <w:lang w:val="en-US"/>
        </w:rPr>
        <w:fldChar w:fldCharType="separate"/>
      </w:r>
    </w:p>
    <w:p w:rsidR="002F3290" w:rsidRPr="00351621" w:rsidRDefault="002F3290" w:rsidP="002F3290">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351621">
        <w:rPr>
          <w:rFonts w:ascii="Montserrat" w:eastAsia="Times New Roman" w:hAnsi="Montserrat" w:cs="Arial"/>
          <w:b/>
          <w:bCs/>
          <w:color w:val="734332"/>
          <w:sz w:val="2"/>
          <w:szCs w:val="2"/>
          <w:lang w:val="en-US"/>
        </w:rPr>
        <w:fldChar w:fldCharType="end"/>
      </w:r>
    </w:p>
    <w:p w:rsidR="002F3290" w:rsidRPr="00351621" w:rsidRDefault="002F3290" w:rsidP="002F3290">
      <w:pPr>
        <w:spacing w:after="0" w:line="240" w:lineRule="auto"/>
        <w:jc w:val="both"/>
        <w:textAlignment w:val="baseline"/>
        <w:outlineLvl w:val="2"/>
        <w:rPr>
          <w:rFonts w:ascii="Montserrat" w:eastAsia="Times New Roman" w:hAnsi="Montserrat" w:cs="Arial"/>
          <w:b/>
          <w:bCs/>
          <w:color w:val="734332"/>
          <w:sz w:val="28"/>
          <w:szCs w:val="28"/>
          <w:lang w:val="en-US"/>
        </w:rPr>
      </w:pPr>
      <w:r w:rsidRPr="00351621">
        <w:rPr>
          <w:rFonts w:ascii="Arial" w:eastAsia="Times New Roman" w:hAnsi="Arial" w:cs="Arial"/>
          <w:b/>
          <w:bCs/>
          <w:color w:val="000000"/>
          <w:sz w:val="28"/>
          <w:szCs w:val="28"/>
          <w:lang w:val="en-US"/>
        </w:rPr>
        <w:t>1.4. Tiếp nhận, thu gom vũ khí, vật liệu nổ, công cụ hỗ trợ</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 Cơ quan, tổ chức, cá nhân phải trình báo, khai báo, giao nộp vũ khí, vật liệu nổ, công cụ hỗ trợ cho cơ quan quân sự, cơ quan Công an hoặc Uỷ ban nhân dân nơi gần nhất trong trường hợp không thuộc đối tượng trang bị, sử dụng theo quy định của pháp luật mà có từ bất kì nguồn nào hoặc phát hiện, thu nhặt được.</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 Việc tiếp nhận, thu gom vũ khí, vật liệu nổ, công cụ hỗ trợ phải được tiến hành thường xuyên và thông qua các đợt vận động.</w:t>
      </w:r>
    </w:p>
    <w:p w:rsidR="002F3290" w:rsidRPr="00351621" w:rsidRDefault="002F3290" w:rsidP="002F3290">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351621">
        <w:rPr>
          <w:rFonts w:ascii="Montserrat" w:eastAsia="Times New Roman" w:hAnsi="Montserrat" w:cs="Arial"/>
          <w:b/>
          <w:bCs/>
          <w:color w:val="734332"/>
          <w:sz w:val="2"/>
          <w:szCs w:val="2"/>
          <w:lang w:val="en-US"/>
        </w:rPr>
        <w:fldChar w:fldCharType="begin"/>
      </w:r>
      <w:r w:rsidRPr="00351621">
        <w:rPr>
          <w:rFonts w:ascii="Montserrat" w:eastAsia="Times New Roman" w:hAnsi="Montserrat" w:cs="Arial"/>
          <w:b/>
          <w:bCs/>
          <w:color w:val="734332"/>
          <w:sz w:val="2"/>
          <w:szCs w:val="2"/>
          <w:lang w:val="en-US"/>
        </w:rPr>
        <w:instrText xml:space="preserve"> HYPERLINK "https://sites.google.com/site/datphamgdqp/gdqpan-kh%E1%BB%91i-11/b%C3%A0i-7-ph%C3%A1p-lu%E1%BA%ADt-v%E1%BB%81-qu%E1%BA%A3n-l%C3%BD-v%C5%A9-kh%C3%AD-v%E1%BA%ADt-li%E1%BB%87u-n%E1%BB%95-c%C3%B4ng-c%E1%BB%A5-h%E1%BB%97-tr%E1%BB%A3" \l "h.avcb056wlrw" </w:instrText>
      </w:r>
      <w:r w:rsidRPr="00351621">
        <w:rPr>
          <w:rFonts w:ascii="Montserrat" w:eastAsia="Times New Roman" w:hAnsi="Montserrat" w:cs="Arial"/>
          <w:b/>
          <w:bCs/>
          <w:color w:val="734332"/>
          <w:sz w:val="2"/>
          <w:szCs w:val="2"/>
          <w:lang w:val="en-US"/>
        </w:rPr>
        <w:fldChar w:fldCharType="separate"/>
      </w:r>
    </w:p>
    <w:p w:rsidR="002F3290" w:rsidRPr="00351621" w:rsidRDefault="002F3290" w:rsidP="002F3290">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351621">
        <w:rPr>
          <w:rFonts w:ascii="Montserrat" w:eastAsia="Times New Roman" w:hAnsi="Montserrat" w:cs="Arial"/>
          <w:b/>
          <w:bCs/>
          <w:color w:val="734332"/>
          <w:sz w:val="2"/>
          <w:szCs w:val="2"/>
          <w:lang w:val="en-US"/>
        </w:rPr>
        <w:fldChar w:fldCharType="end"/>
      </w:r>
    </w:p>
    <w:p w:rsidR="002F3290" w:rsidRPr="00351621" w:rsidRDefault="002F3290" w:rsidP="002F3290">
      <w:pPr>
        <w:spacing w:after="0" w:line="240" w:lineRule="auto"/>
        <w:jc w:val="both"/>
        <w:textAlignment w:val="baseline"/>
        <w:outlineLvl w:val="2"/>
        <w:rPr>
          <w:rFonts w:ascii="Montserrat" w:eastAsia="Times New Roman" w:hAnsi="Montserrat" w:cs="Arial"/>
          <w:b/>
          <w:bCs/>
          <w:color w:val="734332"/>
          <w:sz w:val="28"/>
          <w:szCs w:val="28"/>
          <w:lang w:val="en-US"/>
        </w:rPr>
      </w:pPr>
      <w:r w:rsidRPr="00351621">
        <w:rPr>
          <w:rFonts w:ascii="Arial" w:eastAsia="Times New Roman" w:hAnsi="Arial" w:cs="Arial"/>
          <w:b/>
          <w:bCs/>
          <w:color w:val="000000"/>
          <w:sz w:val="28"/>
          <w:szCs w:val="28"/>
          <w:lang w:val="en-US"/>
        </w:rPr>
        <w:t>1.5. Hành vi bị nghiêm cấm trong quản lí, sử dụng vũ khí, vật liệu nổ, công cụ hỗ trợ</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 Điều 5 Luật Quản lí, sử dụng vũ khí, vật liệu nổ và công cụ hỗ trợ quy định các hành vi bị nghiêm cấm trong quản lí, sử dụng vũ khí, vật liệu nổ và công cụ hỗ trợ, trong đó có một số hành vi sau:</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 Cá nhân sở hữu vũ khí, vật liệu nổ, công cụ hỗ trợ, trừ vũ khí thô sơ là hiện vật để trưng bày, triển lãm, đồ gia bảo.</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lastRenderedPageBreak/>
        <w:t>+ Nghiên cứu, chế tạo, sản xuất, mua bán, tàng trữ, vận chuyển, sửa chữa, sử dụng trái phép hoặc chiếm đoạt vũ khí, vật liệu nổ, công cụ hỗ trợ hoặc chi tiết, cụm chi tiết để lắp ráp vũ khí, công cụ hỗ trợ.</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 Trao đổi, tặng, cho, gửi, mượn, cho mượn, thuê, cho thuê, cầm cố vũ khí, vật liệu nổ, công cụ hỗ trợ hoặc chi tiết, cụm chi tiết để lắp ráp vũ khí, công cụ hỗ trợ; trừ trường hợp trao đổi, tặng, cho, gửi, mượn, cho mượn, thuê, cho thuê vũ khí thô sơ để làm hiện vật trưng bày, triển lãm, đồ gia bảo.</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 Chiếm đoạt, mua bán, trao đổi, tặng, cho, gửi, mượn, cho mượn, thuê, cho thuê, cầm cố phế liệu, phế phẩm vũ khí, vật liệu nổ, công cụ hỗ trợ.</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 Che giấu, không tố giác, giúp người khác chế tạo, sản xuất, mang, mua bán, sửa chữa, xuất khẩu, nhập khẩu, tàng trữ, vận chuyển, sử dụng trái phép hoặc huỷ hoại vũ khí, vật liệu nổ, công cụ hỗ trợ.</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 Đào bới, tìm kiếm, thu gom trái phép vũ khí, vật liệu nổ, công cụ hỗ trợ, phế liệu, phế phẩm vũ khí, vật liệu nổ, công cụ hỗ trợ.</w:t>
      </w:r>
    </w:p>
    <w:p w:rsidR="002F3290" w:rsidRPr="00351621" w:rsidRDefault="002F3290" w:rsidP="002F3290">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351621">
        <w:rPr>
          <w:rFonts w:ascii="Montserrat" w:eastAsia="Times New Roman" w:hAnsi="Montserrat" w:cs="Arial"/>
          <w:b/>
          <w:bCs/>
          <w:color w:val="734332"/>
          <w:sz w:val="2"/>
          <w:szCs w:val="2"/>
          <w:lang w:val="en-US"/>
        </w:rPr>
        <w:fldChar w:fldCharType="begin"/>
      </w:r>
      <w:r w:rsidRPr="00351621">
        <w:rPr>
          <w:rFonts w:ascii="Montserrat" w:eastAsia="Times New Roman" w:hAnsi="Montserrat" w:cs="Arial"/>
          <w:b/>
          <w:bCs/>
          <w:color w:val="734332"/>
          <w:sz w:val="2"/>
          <w:szCs w:val="2"/>
          <w:lang w:val="en-US"/>
        </w:rPr>
        <w:instrText xml:space="preserve"> HYPERLINK "https://sites.google.com/site/datphamgdqp/gdqpan-kh%E1%BB%91i-11/b%C3%A0i-7-ph%C3%A1p-lu%E1%BA%ADt-v%E1%BB%81-qu%E1%BA%A3n-l%C3%BD-v%C5%A9-kh%C3%AD-v%E1%BA%ADt-li%E1%BB%87u-n%E1%BB%95-c%C3%B4ng-c%E1%BB%A5-h%E1%BB%97-tr%E1%BB%A3" \l "h.ob3ubhc0526x" </w:instrText>
      </w:r>
      <w:r w:rsidRPr="00351621">
        <w:rPr>
          <w:rFonts w:ascii="Montserrat" w:eastAsia="Times New Roman" w:hAnsi="Montserrat" w:cs="Arial"/>
          <w:b/>
          <w:bCs/>
          <w:color w:val="734332"/>
          <w:sz w:val="2"/>
          <w:szCs w:val="2"/>
          <w:lang w:val="en-US"/>
        </w:rPr>
        <w:fldChar w:fldCharType="separate"/>
      </w:r>
    </w:p>
    <w:p w:rsidR="002F3290" w:rsidRPr="00351621" w:rsidRDefault="002F3290" w:rsidP="002F3290">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351621">
        <w:rPr>
          <w:rFonts w:ascii="Montserrat" w:eastAsia="Times New Roman" w:hAnsi="Montserrat" w:cs="Arial"/>
          <w:b/>
          <w:bCs/>
          <w:color w:val="734332"/>
          <w:sz w:val="2"/>
          <w:szCs w:val="2"/>
          <w:lang w:val="en-US"/>
        </w:rPr>
        <w:fldChar w:fldCharType="end"/>
      </w:r>
    </w:p>
    <w:p w:rsidR="002F3290" w:rsidRPr="00351621" w:rsidRDefault="002F3290" w:rsidP="002F3290">
      <w:pPr>
        <w:spacing w:after="0" w:line="240" w:lineRule="auto"/>
        <w:jc w:val="both"/>
        <w:textAlignment w:val="baseline"/>
        <w:outlineLvl w:val="2"/>
        <w:rPr>
          <w:rFonts w:ascii="Montserrat" w:eastAsia="Times New Roman" w:hAnsi="Montserrat" w:cs="Arial"/>
          <w:b/>
          <w:bCs/>
          <w:color w:val="734332"/>
          <w:sz w:val="28"/>
          <w:szCs w:val="28"/>
          <w:lang w:val="en-US"/>
        </w:rPr>
      </w:pPr>
      <w:r w:rsidRPr="00351621">
        <w:rPr>
          <w:rFonts w:ascii="Arial" w:eastAsia="Times New Roman" w:hAnsi="Arial" w:cs="Arial"/>
          <w:b/>
          <w:bCs/>
          <w:color w:val="000000"/>
          <w:sz w:val="28"/>
          <w:szCs w:val="28"/>
          <w:lang w:val="en-US"/>
        </w:rPr>
        <w:t>1.6. Xử lí vi phạm pháp luật về quản lí, sử dụng vũ khí, vật liệu nổ và công cụ hỗ trợ</w:t>
      </w:r>
    </w:p>
    <w:p w:rsidR="002F3290" w:rsidRPr="00351621" w:rsidRDefault="002F3290" w:rsidP="002F3290">
      <w:pPr>
        <w:spacing w:after="0" w:line="240" w:lineRule="auto"/>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a) Xử phạt vi phạm hành chính</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8"/>
          <w:szCs w:val="28"/>
          <w:lang w:val="en-US"/>
        </w:rPr>
        <w:t>- Xử phạt vi phạm hành chính theo quy định tại Điều 11 Nghị định số 144/2021/NĐ-CP ngày 31-12-2021 của Chính phủ đối với các hành vi vi phạm quy định về quản lí, sử dụng vũ khí, vật liệu nổ, công cụ hỗ trợ, pháo và đồ chơi nguy hiểm bị cấm, trong đó có một số hành vi sau:</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8"/>
          <w:szCs w:val="28"/>
          <w:lang w:val="en-US"/>
        </w:rPr>
        <w:t>+ Không kê khai, đăng kí đầy đủ các loại vũ khí, công cụ hỗ trợ với cơ quan có thẩm quyền.</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8"/>
          <w:szCs w:val="28"/>
          <w:lang w:val="en-US"/>
        </w:rPr>
        <w:t>+ Che giấu, giúp người khác hoặc không tố giác hành vi chế tạo, sản xuất, mang, mua, bản, sửa chữa, xuất khẩu, nhập khẩu, tàng trữ, vận chuyển, sử dụng trái phép hoặc huỷ hoại vũ khí, công cụ hỗ trợ và pháo.</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8"/>
          <w:szCs w:val="28"/>
          <w:lang w:val="en-US"/>
        </w:rPr>
        <w:t>+ Tàng trữ, vận chuyển trái phép các loại phế liệu, phế phẩm vũ khí, công cụ hỗ trợ, đồ chơi nguy hiểm bị cấm; sử dụng hoặc cho trẻ em sử dụng các loại đồ chơi nguy hiểm bị cấm.</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8"/>
          <w:szCs w:val="28"/>
          <w:lang w:val="en-US"/>
        </w:rPr>
        <w:t>+ Sử dụng các loại pháo, thuốc pháo trái phép; vận chuyển, tàng trữ trái phép pháo, thuốc pháo hoặc nguyên liệu, phụ kiện để sản xuất pháo.</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8"/>
          <w:szCs w:val="28"/>
          <w:lang w:val="en-US"/>
        </w:rPr>
        <w:t>+ Chế tạo, trang bị, tàng trữ, vận chuyển, sửa chữa, sử dụng trái phép vũ khí thô sơ, công cụ hỗ trợ; chi tiết, cụm chi tiết vũ khí, công cụ hỗ trợ hoặc phụ kiện nổ; các loại vũ khí có tính năng, tác dụng tương tự súng săn, vũ khí thô sơ, vũ khí thể thao.</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8"/>
          <w:szCs w:val="28"/>
          <w:lang w:val="en-US"/>
        </w:rPr>
        <w:t>+ Chiếm đoạt vũ khí thô sơ, công cụ hỗ trợ, chi tiết, cụm chi tiết vũ khí, công cụ hỗ trợ hoặc phụ kiện nổ.</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8"/>
          <w:szCs w:val="28"/>
          <w:lang w:val="en-US"/>
        </w:rPr>
        <w:t>+ Đào bới, tìm kiếm, thu gom trái phép vũ khí, vật liệu nổ, công cụ hỗ trợ, phế liệu, phế phẩm vũ khí, vật liệu nổ, công cụ hỗ trợ.</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8"/>
          <w:szCs w:val="28"/>
          <w:lang w:val="en-US"/>
        </w:rPr>
        <w:t>+ Cưa cắt, đục hoặc thực hiện các thao tác khác để tháo bom, mìn, đạn, lựu đạn. quả nổ, ngư lôi, thuỷ lôi và các loại vũ khí khác trái phép.</w:t>
      </w:r>
    </w:p>
    <w:p w:rsidR="002F3290" w:rsidRPr="00351621" w:rsidRDefault="002F3290" w:rsidP="002F3290">
      <w:pPr>
        <w:spacing w:after="0" w:line="240" w:lineRule="auto"/>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b/>
          <w:bCs/>
          <w:color w:val="000000"/>
          <w:sz w:val="28"/>
          <w:szCs w:val="28"/>
          <w:lang w:val="en-US"/>
        </w:rPr>
        <w:t>b) Truy cứu trách nhiệm hình sự</w:t>
      </w:r>
    </w:p>
    <w:p w:rsidR="002F3290" w:rsidRPr="00351621" w:rsidRDefault="002F3290" w:rsidP="002F3290">
      <w:pPr>
        <w:spacing w:after="0" w:line="240" w:lineRule="auto"/>
        <w:ind w:right="40" w:firstLine="20"/>
        <w:jc w:val="both"/>
        <w:textAlignment w:val="baseline"/>
        <w:rPr>
          <w:rFonts w:ascii="Montserrat" w:eastAsia="Times New Roman" w:hAnsi="Montserrat" w:cs="Arial"/>
          <w:color w:val="1C1C1C"/>
          <w:sz w:val="24"/>
          <w:szCs w:val="24"/>
          <w:lang w:val="en-US"/>
        </w:rPr>
      </w:pPr>
      <w:r w:rsidRPr="00351621">
        <w:rPr>
          <w:rFonts w:ascii="Arial" w:eastAsia="Times New Roman" w:hAnsi="Arial" w:cs="Arial"/>
          <w:color w:val="000000"/>
          <w:sz w:val="28"/>
          <w:szCs w:val="28"/>
          <w:lang w:val="en-US"/>
        </w:rPr>
        <w:lastRenderedPageBreak/>
        <w:t>- Truy cứu trách nhiệm hình sự đối với các hành vi phạm tội theo quy định tại Điều 304, Điều 305, Điều 306, Điều 307 và Điều 308 Bộ luật Hình sự.</w:t>
      </w:r>
    </w:p>
    <w:p w:rsidR="002F3290" w:rsidRPr="00351621" w:rsidRDefault="002F3290" w:rsidP="002F3290">
      <w:pPr>
        <w:spacing w:after="0" w:line="240" w:lineRule="auto"/>
        <w:jc w:val="center"/>
        <w:textAlignment w:val="center"/>
        <w:outlineLvl w:val="1"/>
        <w:rPr>
          <w:rFonts w:ascii="Times New Roman" w:eastAsia="Times New Roman" w:hAnsi="Times New Roman" w:cs="Times New Roman"/>
          <w:b/>
          <w:bCs/>
          <w:color w:val="0000FF"/>
          <w:sz w:val="2"/>
          <w:szCs w:val="2"/>
          <w:lang w:val="en-US"/>
        </w:rPr>
      </w:pPr>
      <w:r w:rsidRPr="00351621">
        <w:rPr>
          <w:rFonts w:ascii="Montserrat" w:eastAsia="Times New Roman" w:hAnsi="Montserrat" w:cs="Arial"/>
          <w:b/>
          <w:bCs/>
          <w:color w:val="734332"/>
          <w:sz w:val="2"/>
          <w:szCs w:val="2"/>
          <w:lang w:val="en-US"/>
        </w:rPr>
        <w:fldChar w:fldCharType="begin"/>
      </w:r>
      <w:r w:rsidRPr="00351621">
        <w:rPr>
          <w:rFonts w:ascii="Montserrat" w:eastAsia="Times New Roman" w:hAnsi="Montserrat" w:cs="Arial"/>
          <w:b/>
          <w:bCs/>
          <w:color w:val="734332"/>
          <w:sz w:val="2"/>
          <w:szCs w:val="2"/>
          <w:lang w:val="en-US"/>
        </w:rPr>
        <w:instrText xml:space="preserve"> HYPERLINK "https://sites.google.com/site/datphamgdqp/gdqpan-kh%E1%BB%91i-11/b%C3%A0i-7-ph%C3%A1p-lu%E1%BA%ADt-v%E1%BB%81-qu%E1%BA%A3n-l%C3%BD-v%C5%A9-kh%C3%AD-v%E1%BA%ADt-li%E1%BB%87u-n%E1%BB%95-c%C3%B4ng-c%E1%BB%A5-h%E1%BB%97-tr%E1%BB%A3" \l "h.lq7jjsdom8ll" </w:instrText>
      </w:r>
      <w:r w:rsidRPr="00351621">
        <w:rPr>
          <w:rFonts w:ascii="Montserrat" w:eastAsia="Times New Roman" w:hAnsi="Montserrat" w:cs="Arial"/>
          <w:b/>
          <w:bCs/>
          <w:color w:val="734332"/>
          <w:sz w:val="2"/>
          <w:szCs w:val="2"/>
          <w:lang w:val="en-US"/>
        </w:rPr>
        <w:fldChar w:fldCharType="separate"/>
      </w:r>
    </w:p>
    <w:p w:rsidR="002F3290" w:rsidRPr="00351621" w:rsidRDefault="002F3290" w:rsidP="002F3290">
      <w:pPr>
        <w:spacing w:after="0" w:line="240" w:lineRule="auto"/>
        <w:jc w:val="center"/>
        <w:textAlignment w:val="center"/>
        <w:outlineLvl w:val="1"/>
        <w:rPr>
          <w:rFonts w:ascii="Times New Roman" w:eastAsia="Times New Roman" w:hAnsi="Times New Roman" w:cs="Times New Roman"/>
          <w:b/>
          <w:bCs/>
          <w:color w:val="734332"/>
          <w:sz w:val="36"/>
          <w:szCs w:val="36"/>
          <w:lang w:val="en-US"/>
        </w:rPr>
      </w:pPr>
      <w:r w:rsidRPr="00351621">
        <w:rPr>
          <w:rFonts w:ascii="Montserrat" w:eastAsia="Times New Roman" w:hAnsi="Montserrat" w:cs="Arial"/>
          <w:b/>
          <w:bCs/>
          <w:color w:val="734332"/>
          <w:sz w:val="2"/>
          <w:szCs w:val="2"/>
          <w:lang w:val="en-US"/>
        </w:rPr>
        <w:fldChar w:fldCharType="end"/>
      </w:r>
    </w:p>
    <w:p w:rsidR="00E57AF4" w:rsidRDefault="00E57AF4"/>
    <w:sectPr w:rsidR="00E57AF4"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290"/>
    <w:rsid w:val="002F3290"/>
    <w:rsid w:val="004E7F17"/>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90"/>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90"/>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1470</Words>
  <Characters>8382</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Bài 5: Pháp luật về quản lý vũ khí, vật liệu nổ, công cụ hỗ trợ. </vt:lpstr>
      <vt:lpstr>    </vt:lpstr>
      <vt:lpstr>    </vt:lpstr>
      <vt:lpstr>    </vt:lpstr>
      <vt:lpstr>    </vt:lpstr>
      <vt:lpstr>    </vt:lpstr>
      <vt:lpstr>    </vt:lpstr>
      <vt:lpstr>    I. Một số nội dung cơ bản của pháp luật về quản lí, sử dụng vũ khí vật liệu nổ v</vt:lpstr>
      <vt:lpstr>        </vt:lpstr>
      <vt:lpstr>        </vt:lpstr>
      <vt:lpstr>        1.1. Một số khái niệm</vt:lpstr>
      <vt:lpstr>        </vt:lpstr>
      <vt:lpstr>        </vt:lpstr>
      <vt:lpstr>        1.2. Một số nguyên tắc quản lí, sử dụng vũ khí, vật liệu nổ và công cụ hỗ trợ</vt:lpstr>
      <vt:lpstr>        </vt:lpstr>
      <vt:lpstr>        </vt:lpstr>
      <vt:lpstr>        1.3. Trang bị, sử dụng vũ khí, vật liệu nổ, công cụ hỗ trợ</vt:lpstr>
      <vt:lpstr>        </vt:lpstr>
      <vt:lpstr>        </vt:lpstr>
      <vt:lpstr>        1.4. Tiếp nhận, thu gom vũ khí, vật liệu nổ, công cụ hỗ trợ</vt:lpstr>
      <vt:lpstr>        </vt:lpstr>
      <vt:lpstr>        </vt:lpstr>
      <vt:lpstr>        1.5. Hành vi bị nghiêm cấm trong quản lí, sử dụng vũ khí, vật liệu nổ, công cụ h</vt:lpstr>
      <vt:lpstr>        </vt:lpstr>
      <vt:lpstr>        </vt:lpstr>
      <vt:lpstr>        1.6. Xử lí vi phạm pháp luật về quản lí, sử dụng vũ khí, vật liệu nổ và công cụ </vt:lpstr>
      <vt:lpstr>    </vt:lpstr>
      <vt:lpstr>    </vt:lpstr>
    </vt:vector>
  </TitlesOfParts>
  <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2023-09-28T07:36:00Z</dcterms:created>
  <dcterms:modified xsi:type="dcterms:W3CDTF">2023-09-28T07:39:00Z</dcterms:modified>
</cp:coreProperties>
</file>