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A568" w14:textId="389745CE" w:rsidR="00053163" w:rsidRDefault="00053163" w:rsidP="00053163">
      <w:pPr>
        <w:spacing w:line="360" w:lineRule="auto"/>
        <w:jc w:val="center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t>Bài</w:t>
      </w:r>
      <w:proofErr w:type="spellEnd"/>
      <w:r>
        <w:rPr>
          <w:b/>
          <w:color w:val="000000"/>
          <w:sz w:val="27"/>
          <w:szCs w:val="27"/>
        </w:rPr>
        <w:t xml:space="preserve"> 11 : Liên Minh Châu </w:t>
      </w:r>
      <w:proofErr w:type="spellStart"/>
      <w:r>
        <w:rPr>
          <w:b/>
          <w:color w:val="000000"/>
          <w:sz w:val="27"/>
          <w:szCs w:val="27"/>
        </w:rPr>
        <w:t>Âu</w:t>
      </w:r>
      <w:proofErr w:type="spellEnd"/>
      <w:r>
        <w:rPr>
          <w:b/>
          <w:color w:val="000000"/>
          <w:sz w:val="27"/>
          <w:szCs w:val="27"/>
        </w:rPr>
        <w:t xml:space="preserve"> ( EU)</w:t>
      </w:r>
    </w:p>
    <w:p w14:paraId="7148DA11" w14:textId="043A1BFF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I. Quy </w:t>
      </w:r>
      <w:proofErr w:type="spellStart"/>
      <w:r>
        <w:rPr>
          <w:b/>
          <w:color w:val="000000"/>
          <w:sz w:val="27"/>
          <w:szCs w:val="27"/>
        </w:rPr>
        <w:t>mô</w:t>
      </w:r>
      <w:proofErr w:type="spellEnd"/>
      <w:r>
        <w:rPr>
          <w:b/>
          <w:color w:val="000000"/>
          <w:sz w:val="27"/>
          <w:szCs w:val="27"/>
        </w:rPr>
        <w:t xml:space="preserve">, </w:t>
      </w:r>
      <w:proofErr w:type="spellStart"/>
      <w:r>
        <w:rPr>
          <w:b/>
          <w:color w:val="000000"/>
          <w:sz w:val="27"/>
          <w:szCs w:val="27"/>
        </w:rPr>
        <w:t>mục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tiêu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và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thể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chế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hoạt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động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của</w:t>
      </w:r>
      <w:proofErr w:type="spellEnd"/>
      <w:r>
        <w:rPr>
          <w:b/>
          <w:color w:val="000000"/>
          <w:sz w:val="27"/>
          <w:szCs w:val="27"/>
        </w:rPr>
        <w:t xml:space="preserve"> EU</w:t>
      </w:r>
    </w:p>
    <w:p w14:paraId="12E2B41E" w14:textId="77777777" w:rsidR="00053163" w:rsidRDefault="00053163" w:rsidP="00053163">
      <w:pPr>
        <w:spacing w:line="360" w:lineRule="auto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 xml:space="preserve">- Quy </w:t>
      </w:r>
      <w:proofErr w:type="spellStart"/>
      <w:r>
        <w:rPr>
          <w:bCs/>
          <w:i/>
          <w:iCs/>
          <w:color w:val="000000"/>
          <w:sz w:val="27"/>
          <w:szCs w:val="27"/>
        </w:rPr>
        <w:t>mô</w:t>
      </w:r>
      <w:proofErr w:type="spellEnd"/>
      <w:r>
        <w:rPr>
          <w:bCs/>
          <w:i/>
          <w:iCs/>
          <w:color w:val="000000"/>
          <w:sz w:val="27"/>
          <w:szCs w:val="27"/>
        </w:rPr>
        <w:t>:</w:t>
      </w:r>
    </w:p>
    <w:p w14:paraId="1E2492C8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</w:t>
      </w:r>
      <w:proofErr w:type="spellStart"/>
      <w:r>
        <w:rPr>
          <w:bCs/>
          <w:color w:val="000000"/>
          <w:sz w:val="27"/>
          <w:szCs w:val="27"/>
        </w:rPr>
        <w:t>Từ</w:t>
      </w:r>
      <w:proofErr w:type="spellEnd"/>
      <w:r>
        <w:rPr>
          <w:bCs/>
          <w:color w:val="000000"/>
          <w:sz w:val="27"/>
          <w:szCs w:val="27"/>
        </w:rPr>
        <w:t xml:space="preserve"> 6 </w:t>
      </w:r>
      <w:proofErr w:type="spellStart"/>
      <w:r>
        <w:rPr>
          <w:bCs/>
          <w:color w:val="000000"/>
          <w:sz w:val="27"/>
          <w:szCs w:val="27"/>
        </w:rPr>
        <w:t>quốc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 ban </w:t>
      </w:r>
      <w:proofErr w:type="spellStart"/>
      <w:r>
        <w:rPr>
          <w:bCs/>
          <w:color w:val="000000"/>
          <w:sz w:val="27"/>
          <w:szCs w:val="27"/>
        </w:rPr>
        <w:t>đầu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đến</w:t>
      </w:r>
      <w:proofErr w:type="spellEnd"/>
      <w:r>
        <w:rPr>
          <w:bCs/>
          <w:color w:val="000000"/>
          <w:sz w:val="27"/>
          <w:szCs w:val="27"/>
        </w:rPr>
        <w:t xml:space="preserve"> nay EU </w:t>
      </w:r>
      <w:proofErr w:type="spellStart"/>
      <w:r>
        <w:rPr>
          <w:bCs/>
          <w:color w:val="000000"/>
          <w:sz w:val="27"/>
          <w:szCs w:val="27"/>
        </w:rPr>
        <w:t>có</w:t>
      </w:r>
      <w:proofErr w:type="spellEnd"/>
      <w:r>
        <w:rPr>
          <w:bCs/>
          <w:color w:val="000000"/>
          <w:sz w:val="27"/>
          <w:szCs w:val="27"/>
        </w:rPr>
        <w:t xml:space="preserve"> 27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chính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thức</w:t>
      </w:r>
      <w:proofErr w:type="spellEnd"/>
      <w:r>
        <w:rPr>
          <w:bCs/>
          <w:color w:val="000000"/>
          <w:sz w:val="27"/>
          <w:szCs w:val="27"/>
        </w:rPr>
        <w:t xml:space="preserve"> (</w:t>
      </w:r>
      <w:proofErr w:type="spellStart"/>
      <w:r>
        <w:rPr>
          <w:bCs/>
          <w:color w:val="000000"/>
          <w:sz w:val="27"/>
          <w:szCs w:val="27"/>
        </w:rPr>
        <w:t>năm</w:t>
      </w:r>
      <w:proofErr w:type="spellEnd"/>
      <w:r>
        <w:rPr>
          <w:bCs/>
          <w:color w:val="000000"/>
          <w:sz w:val="27"/>
          <w:szCs w:val="27"/>
        </w:rPr>
        <w:t xml:space="preserve"> 2022). </w:t>
      </w:r>
    </w:p>
    <w:p w14:paraId="7C1FB8C0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</w:t>
      </w:r>
      <w:proofErr w:type="spellStart"/>
      <w:r>
        <w:rPr>
          <w:bCs/>
          <w:color w:val="000000"/>
          <w:sz w:val="27"/>
          <w:szCs w:val="27"/>
        </w:rPr>
        <w:t>Tổng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số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dân</w:t>
      </w:r>
      <w:proofErr w:type="spellEnd"/>
      <w:r>
        <w:rPr>
          <w:bCs/>
          <w:color w:val="000000"/>
          <w:sz w:val="27"/>
          <w:szCs w:val="27"/>
        </w:rPr>
        <w:t xml:space="preserve"> 447,1 </w:t>
      </w:r>
      <w:proofErr w:type="spellStart"/>
      <w:r>
        <w:rPr>
          <w:bCs/>
          <w:color w:val="000000"/>
          <w:sz w:val="27"/>
          <w:szCs w:val="27"/>
        </w:rPr>
        <w:t>triệu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người</w:t>
      </w:r>
      <w:proofErr w:type="spellEnd"/>
    </w:p>
    <w:p w14:paraId="67FFA37F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GDP 17 177,4 </w:t>
      </w:r>
      <w:proofErr w:type="spellStart"/>
      <w:r>
        <w:rPr>
          <w:bCs/>
          <w:color w:val="000000"/>
          <w:sz w:val="27"/>
          <w:szCs w:val="27"/>
        </w:rPr>
        <w:t>tỉ</w:t>
      </w:r>
      <w:proofErr w:type="spellEnd"/>
      <w:r>
        <w:rPr>
          <w:bCs/>
          <w:color w:val="000000"/>
          <w:sz w:val="27"/>
          <w:szCs w:val="27"/>
        </w:rPr>
        <w:t xml:space="preserve"> USD</w:t>
      </w:r>
    </w:p>
    <w:p w14:paraId="553021D1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i/>
          <w:iCs/>
          <w:color w:val="000000"/>
          <w:sz w:val="27"/>
          <w:szCs w:val="27"/>
        </w:rPr>
        <w:t>Mục</w:t>
      </w:r>
      <w:proofErr w:type="spellEnd"/>
      <w:r>
        <w:rPr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Cs/>
          <w:i/>
          <w:iCs/>
          <w:color w:val="000000"/>
          <w:sz w:val="27"/>
          <w:szCs w:val="27"/>
        </w:rPr>
        <w:t>tiêu</w:t>
      </w:r>
      <w:proofErr w:type="spellEnd"/>
      <w:r>
        <w:rPr>
          <w:bCs/>
          <w:i/>
          <w:iCs/>
          <w:color w:val="000000"/>
          <w:sz w:val="27"/>
          <w:szCs w:val="27"/>
        </w:rPr>
        <w:t>:</w:t>
      </w:r>
    </w:p>
    <w:p w14:paraId="328E313C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</w:t>
      </w:r>
      <w:proofErr w:type="spellStart"/>
      <w:r>
        <w:rPr>
          <w:bCs/>
          <w:color w:val="000000"/>
          <w:sz w:val="27"/>
          <w:szCs w:val="27"/>
        </w:rPr>
        <w:t>Thúc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đẩy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lưu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(</w:t>
      </w:r>
      <w:proofErr w:type="spellStart"/>
      <w:r>
        <w:rPr>
          <w:bCs/>
          <w:color w:val="000000"/>
          <w:sz w:val="27"/>
          <w:szCs w:val="27"/>
        </w:rPr>
        <w:t>hàng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hoá</w:t>
      </w:r>
      <w:proofErr w:type="spellEnd"/>
      <w:r>
        <w:rPr>
          <w:bCs/>
          <w:color w:val="000000"/>
          <w:sz w:val="27"/>
          <w:szCs w:val="27"/>
        </w:rPr>
        <w:t xml:space="preserve">, con </w:t>
      </w:r>
      <w:proofErr w:type="spellStart"/>
      <w:r>
        <w:rPr>
          <w:bCs/>
          <w:color w:val="000000"/>
          <w:sz w:val="27"/>
          <w:szCs w:val="27"/>
        </w:rPr>
        <w:t>người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dịch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vụ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vốn</w:t>
      </w:r>
      <w:proofErr w:type="spellEnd"/>
      <w:r>
        <w:rPr>
          <w:bCs/>
          <w:color w:val="000000"/>
          <w:sz w:val="27"/>
          <w:szCs w:val="27"/>
        </w:rPr>
        <w:t xml:space="preserve">) </w:t>
      </w:r>
      <w:proofErr w:type="spellStart"/>
      <w:r>
        <w:rPr>
          <w:bCs/>
          <w:color w:val="000000"/>
          <w:sz w:val="27"/>
          <w:szCs w:val="27"/>
        </w:rPr>
        <w:t>giữa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nước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nhằm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hướng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đến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xây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dựng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một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trường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thống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nhất</w:t>
      </w:r>
      <w:proofErr w:type="spellEnd"/>
      <w:r>
        <w:rPr>
          <w:bCs/>
          <w:color w:val="000000"/>
          <w:sz w:val="27"/>
          <w:szCs w:val="27"/>
        </w:rPr>
        <w:t xml:space="preserve">. </w:t>
      </w:r>
    </w:p>
    <w:p w14:paraId="14038A44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</w:t>
      </w:r>
      <w:proofErr w:type="spellStart"/>
      <w:r>
        <w:rPr>
          <w:bCs/>
          <w:color w:val="000000"/>
          <w:sz w:val="27"/>
          <w:szCs w:val="27"/>
        </w:rPr>
        <w:t>Tăng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cường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hợp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tác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liên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kết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giữa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quốc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về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mọi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mặt</w:t>
      </w:r>
      <w:proofErr w:type="spellEnd"/>
      <w:r>
        <w:rPr>
          <w:bCs/>
          <w:color w:val="000000"/>
          <w:sz w:val="27"/>
          <w:szCs w:val="27"/>
        </w:rPr>
        <w:t xml:space="preserve"> (</w:t>
      </w:r>
      <w:proofErr w:type="spellStart"/>
      <w:r>
        <w:rPr>
          <w:bCs/>
          <w:color w:val="000000"/>
          <w:sz w:val="27"/>
          <w:szCs w:val="27"/>
        </w:rPr>
        <w:t>kinh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tế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pháp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luật</w:t>
      </w:r>
      <w:proofErr w:type="spellEnd"/>
      <w:r>
        <w:rPr>
          <w:bCs/>
          <w:color w:val="000000"/>
          <w:sz w:val="27"/>
          <w:szCs w:val="27"/>
        </w:rPr>
        <w:t xml:space="preserve">, an </w:t>
      </w:r>
      <w:proofErr w:type="spellStart"/>
      <w:r>
        <w:rPr>
          <w:bCs/>
          <w:color w:val="000000"/>
          <w:sz w:val="27"/>
          <w:szCs w:val="27"/>
        </w:rPr>
        <w:t>ninh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nội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Cs/>
          <w:color w:val="000000"/>
          <w:sz w:val="27"/>
          <w:szCs w:val="27"/>
        </w:rPr>
        <w:t>vụ</w:t>
      </w:r>
      <w:proofErr w:type="spellEnd"/>
      <w:r>
        <w:rPr>
          <w:bCs/>
          <w:color w:val="000000"/>
          <w:sz w:val="27"/>
          <w:szCs w:val="27"/>
        </w:rPr>
        <w:t>,...</w:t>
      </w:r>
      <w:proofErr w:type="gramEnd"/>
      <w:r>
        <w:rPr>
          <w:bCs/>
          <w:color w:val="000000"/>
          <w:sz w:val="27"/>
          <w:szCs w:val="27"/>
        </w:rPr>
        <w:t>).</w:t>
      </w:r>
    </w:p>
    <w:p w14:paraId="66DC0068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Duy </w:t>
      </w:r>
      <w:proofErr w:type="spellStart"/>
      <w:r>
        <w:rPr>
          <w:bCs/>
          <w:color w:val="000000"/>
          <w:sz w:val="27"/>
          <w:szCs w:val="27"/>
        </w:rPr>
        <w:t>trì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phát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huy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văn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hoá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đảm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bảo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phúc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lợi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của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dân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nước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. </w:t>
      </w:r>
    </w:p>
    <w:p w14:paraId="21088E58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Duy </w:t>
      </w:r>
      <w:proofErr w:type="spellStart"/>
      <w:r>
        <w:rPr>
          <w:bCs/>
          <w:color w:val="000000"/>
          <w:sz w:val="27"/>
          <w:szCs w:val="27"/>
        </w:rPr>
        <w:t>trì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hoà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bình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đảm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bảo</w:t>
      </w:r>
      <w:proofErr w:type="spellEnd"/>
      <w:r>
        <w:rPr>
          <w:bCs/>
          <w:color w:val="000000"/>
          <w:sz w:val="27"/>
          <w:szCs w:val="27"/>
        </w:rPr>
        <w:t xml:space="preserve"> an </w:t>
      </w:r>
      <w:proofErr w:type="spellStart"/>
      <w:r>
        <w:rPr>
          <w:bCs/>
          <w:color w:val="000000"/>
          <w:sz w:val="27"/>
          <w:szCs w:val="27"/>
        </w:rPr>
        <w:t>ninh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quốc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thế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giới</w:t>
      </w:r>
      <w:proofErr w:type="spellEnd"/>
    </w:p>
    <w:p w14:paraId="60498369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i/>
          <w:iCs/>
          <w:color w:val="000000"/>
          <w:sz w:val="27"/>
          <w:szCs w:val="27"/>
        </w:rPr>
        <w:t>Thể</w:t>
      </w:r>
      <w:proofErr w:type="spellEnd"/>
      <w:r>
        <w:rPr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Cs/>
          <w:i/>
          <w:iCs/>
          <w:color w:val="000000"/>
          <w:sz w:val="27"/>
          <w:szCs w:val="27"/>
        </w:rPr>
        <w:t>chế</w:t>
      </w:r>
      <w:proofErr w:type="spellEnd"/>
      <w:r>
        <w:rPr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Cs/>
          <w:i/>
          <w:iCs/>
          <w:color w:val="000000"/>
          <w:sz w:val="27"/>
          <w:szCs w:val="27"/>
        </w:rPr>
        <w:t>hoạt</w:t>
      </w:r>
      <w:proofErr w:type="spellEnd"/>
      <w:r>
        <w:rPr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Cs/>
          <w:i/>
          <w:iCs/>
          <w:color w:val="000000"/>
          <w:sz w:val="27"/>
          <w:szCs w:val="27"/>
        </w:rPr>
        <w:t>động</w:t>
      </w:r>
      <w:proofErr w:type="spellEnd"/>
      <w:r>
        <w:rPr>
          <w:bCs/>
          <w:i/>
          <w:iCs/>
          <w:color w:val="000000"/>
          <w:sz w:val="27"/>
          <w:szCs w:val="27"/>
        </w:rPr>
        <w:t>:</w:t>
      </w:r>
    </w:p>
    <w:p w14:paraId="7F432AE2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</w:t>
      </w:r>
      <w:proofErr w:type="spellStart"/>
      <w:r>
        <w:rPr>
          <w:bCs/>
          <w:color w:val="000000"/>
          <w:sz w:val="27"/>
          <w:szCs w:val="27"/>
        </w:rPr>
        <w:t>Bốn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quan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thể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chế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ra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quyết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định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chính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điều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hành</w:t>
      </w:r>
      <w:proofErr w:type="spellEnd"/>
      <w:r>
        <w:rPr>
          <w:bCs/>
          <w:color w:val="000000"/>
          <w:sz w:val="27"/>
          <w:szCs w:val="27"/>
        </w:rPr>
        <w:t xml:space="preserve"> EU </w:t>
      </w:r>
      <w:proofErr w:type="spellStart"/>
      <w:r>
        <w:rPr>
          <w:bCs/>
          <w:color w:val="000000"/>
          <w:sz w:val="27"/>
          <w:szCs w:val="27"/>
        </w:rPr>
        <w:t>là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Hội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đồng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Hội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đồng</w:t>
      </w:r>
      <w:proofErr w:type="spellEnd"/>
      <w:r>
        <w:rPr>
          <w:bCs/>
          <w:color w:val="000000"/>
          <w:sz w:val="27"/>
          <w:szCs w:val="27"/>
        </w:rPr>
        <w:t xml:space="preserve"> Liên </w:t>
      </w:r>
      <w:proofErr w:type="spellStart"/>
      <w:r>
        <w:rPr>
          <w:bCs/>
          <w:color w:val="000000"/>
          <w:sz w:val="27"/>
          <w:szCs w:val="27"/>
        </w:rPr>
        <w:t>minh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Uỷ</w:t>
      </w:r>
      <w:proofErr w:type="spellEnd"/>
      <w:r>
        <w:rPr>
          <w:bCs/>
          <w:color w:val="000000"/>
          <w:sz w:val="27"/>
          <w:szCs w:val="27"/>
        </w:rPr>
        <w:t xml:space="preserve"> ban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Nghị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viện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. </w:t>
      </w:r>
    </w:p>
    <w:p w14:paraId="1DE1984D" w14:textId="461955F2" w:rsidR="009633BB" w:rsidRDefault="00053163" w:rsidP="00053163">
      <w:pPr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+ Các </w:t>
      </w:r>
      <w:proofErr w:type="spellStart"/>
      <w:r>
        <w:rPr>
          <w:bCs/>
          <w:color w:val="000000"/>
          <w:sz w:val="27"/>
          <w:szCs w:val="27"/>
        </w:rPr>
        <w:t>cơ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quan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này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có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chức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năng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riêng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biệt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phối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hợp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chặt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chẽ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với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nhau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nhằm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ra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quyết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định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điều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hành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hoạt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động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của</w:t>
      </w:r>
      <w:proofErr w:type="spellEnd"/>
      <w:r>
        <w:rPr>
          <w:bCs/>
          <w:color w:val="000000"/>
          <w:sz w:val="27"/>
          <w:szCs w:val="27"/>
        </w:rPr>
        <w:t xml:space="preserve"> EU.</w:t>
      </w:r>
    </w:p>
    <w:p w14:paraId="31698A14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II. </w:t>
      </w:r>
      <w:proofErr w:type="spellStart"/>
      <w:r>
        <w:rPr>
          <w:b/>
          <w:color w:val="000000"/>
          <w:sz w:val="27"/>
          <w:szCs w:val="27"/>
        </w:rPr>
        <w:t>Vị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thế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của</w:t>
      </w:r>
      <w:proofErr w:type="spellEnd"/>
      <w:r>
        <w:rPr>
          <w:b/>
          <w:color w:val="000000"/>
          <w:sz w:val="27"/>
          <w:szCs w:val="27"/>
        </w:rPr>
        <w:t xml:space="preserve"> EU </w:t>
      </w:r>
      <w:proofErr w:type="spellStart"/>
      <w:r>
        <w:rPr>
          <w:b/>
          <w:color w:val="000000"/>
          <w:sz w:val="27"/>
          <w:szCs w:val="27"/>
        </w:rPr>
        <w:t>trong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nền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kinh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tế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thế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giới</w:t>
      </w:r>
      <w:proofErr w:type="spellEnd"/>
    </w:p>
    <w:p w14:paraId="38E2F004" w14:textId="77777777" w:rsidR="00053163" w:rsidRDefault="00053163" w:rsidP="00053163">
      <w:pPr>
        <w:spacing w:line="360" w:lineRule="auto"/>
        <w:rPr>
          <w:b/>
          <w:i/>
          <w:iCs/>
          <w:sz w:val="27"/>
          <w:szCs w:val="27"/>
        </w:rPr>
      </w:pPr>
      <w:r>
        <w:rPr>
          <w:b/>
          <w:i/>
          <w:iCs/>
          <w:color w:val="000000"/>
          <w:sz w:val="27"/>
          <w:szCs w:val="27"/>
        </w:rPr>
        <w:t xml:space="preserve">1. Trung </w:t>
      </w:r>
      <w:proofErr w:type="spellStart"/>
      <w:r>
        <w:rPr>
          <w:b/>
          <w:i/>
          <w:iCs/>
          <w:color w:val="000000"/>
          <w:sz w:val="27"/>
          <w:szCs w:val="27"/>
        </w:rPr>
        <w:t>tâm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kinh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tế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hàng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đầu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thế</w:t>
      </w:r>
      <w:proofErr w:type="spellEnd"/>
    </w:p>
    <w:p w14:paraId="751E9F9E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EU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trung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tâm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kinh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đầu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giới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với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quy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mô</w:t>
      </w:r>
      <w:proofErr w:type="spellEnd"/>
      <w:r>
        <w:rPr>
          <w:bCs/>
          <w:sz w:val="27"/>
          <w:szCs w:val="27"/>
        </w:rPr>
        <w:t xml:space="preserve"> GDP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17 177,4 </w:t>
      </w:r>
      <w:proofErr w:type="spellStart"/>
      <w:r>
        <w:rPr>
          <w:bCs/>
          <w:sz w:val="27"/>
          <w:szCs w:val="27"/>
        </w:rPr>
        <w:t>tỉ</w:t>
      </w:r>
      <w:proofErr w:type="spellEnd"/>
      <w:r>
        <w:rPr>
          <w:bCs/>
          <w:sz w:val="27"/>
          <w:szCs w:val="27"/>
        </w:rPr>
        <w:t xml:space="preserve"> USD (</w:t>
      </w:r>
      <w:proofErr w:type="spellStart"/>
      <w:r>
        <w:rPr>
          <w:bCs/>
          <w:sz w:val="27"/>
          <w:szCs w:val="27"/>
        </w:rPr>
        <w:t>đứng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thứ</w:t>
      </w:r>
      <w:proofErr w:type="spellEnd"/>
      <w:r>
        <w:rPr>
          <w:bCs/>
          <w:sz w:val="27"/>
          <w:szCs w:val="27"/>
        </w:rPr>
        <w:t xml:space="preserve"> 3 </w:t>
      </w:r>
      <w:proofErr w:type="spellStart"/>
      <w:r>
        <w:rPr>
          <w:bCs/>
          <w:sz w:val="27"/>
          <w:szCs w:val="27"/>
        </w:rPr>
        <w:t>trên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giới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sau</w:t>
      </w:r>
      <w:proofErr w:type="spellEnd"/>
      <w:r>
        <w:rPr>
          <w:bCs/>
          <w:sz w:val="27"/>
          <w:szCs w:val="27"/>
        </w:rPr>
        <w:t xml:space="preserve"> Hoa </w:t>
      </w:r>
      <w:proofErr w:type="spellStart"/>
      <w:r>
        <w:rPr>
          <w:bCs/>
          <w:sz w:val="27"/>
          <w:szCs w:val="27"/>
        </w:rPr>
        <w:t>Kỳ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Trung Quốc), </w:t>
      </w:r>
      <w:proofErr w:type="spellStart"/>
      <w:r>
        <w:rPr>
          <w:bCs/>
          <w:sz w:val="27"/>
          <w:szCs w:val="27"/>
        </w:rPr>
        <w:t>chiếm</w:t>
      </w:r>
      <w:proofErr w:type="spellEnd"/>
      <w:r>
        <w:rPr>
          <w:bCs/>
          <w:sz w:val="27"/>
          <w:szCs w:val="27"/>
        </w:rPr>
        <w:t xml:space="preserve"> 17,8% GDP </w:t>
      </w:r>
      <w:proofErr w:type="spellStart"/>
      <w:r>
        <w:rPr>
          <w:bCs/>
          <w:sz w:val="27"/>
          <w:szCs w:val="27"/>
        </w:rPr>
        <w:t>toàn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cầu</w:t>
      </w:r>
      <w:proofErr w:type="spellEnd"/>
      <w:r>
        <w:rPr>
          <w:bCs/>
          <w:sz w:val="27"/>
          <w:szCs w:val="27"/>
        </w:rPr>
        <w:t xml:space="preserve"> (</w:t>
      </w:r>
      <w:proofErr w:type="spellStart"/>
      <w:r>
        <w:rPr>
          <w:bCs/>
          <w:sz w:val="27"/>
          <w:szCs w:val="27"/>
        </w:rPr>
        <w:t>năm</w:t>
      </w:r>
      <w:proofErr w:type="spellEnd"/>
      <w:r>
        <w:rPr>
          <w:bCs/>
          <w:sz w:val="27"/>
          <w:szCs w:val="27"/>
        </w:rPr>
        <w:t xml:space="preserve"> 2021). </w:t>
      </w:r>
    </w:p>
    <w:p w14:paraId="32DE6C42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EU </w:t>
      </w:r>
      <w:proofErr w:type="spellStart"/>
      <w:r>
        <w:rPr>
          <w:bCs/>
          <w:sz w:val="27"/>
          <w:szCs w:val="27"/>
        </w:rPr>
        <w:t>đứng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đầu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giới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về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tỉ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trọng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trị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xuất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khẩu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chiếm</w:t>
      </w:r>
      <w:proofErr w:type="spellEnd"/>
      <w:r>
        <w:rPr>
          <w:bCs/>
          <w:sz w:val="27"/>
          <w:szCs w:val="27"/>
        </w:rPr>
        <w:t xml:space="preserve"> 31,0% </w:t>
      </w:r>
      <w:proofErr w:type="spellStart"/>
      <w:r>
        <w:rPr>
          <w:bCs/>
          <w:sz w:val="27"/>
          <w:szCs w:val="27"/>
        </w:rPr>
        <w:t>trị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xuất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khẩu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của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giới</w:t>
      </w:r>
      <w:proofErr w:type="spellEnd"/>
      <w:r>
        <w:rPr>
          <w:bCs/>
          <w:sz w:val="27"/>
          <w:szCs w:val="27"/>
        </w:rPr>
        <w:t xml:space="preserve"> (</w:t>
      </w:r>
      <w:proofErr w:type="spellStart"/>
      <w:r>
        <w:rPr>
          <w:bCs/>
          <w:sz w:val="27"/>
          <w:szCs w:val="27"/>
        </w:rPr>
        <w:t>năm</w:t>
      </w:r>
      <w:proofErr w:type="spellEnd"/>
      <w:r>
        <w:rPr>
          <w:bCs/>
          <w:sz w:val="27"/>
          <w:szCs w:val="27"/>
        </w:rPr>
        <w:t xml:space="preserve"> 2021).</w:t>
      </w:r>
    </w:p>
    <w:p w14:paraId="19EBDD32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EU </w:t>
      </w:r>
      <w:proofErr w:type="spellStart"/>
      <w:r>
        <w:rPr>
          <w:bCs/>
          <w:sz w:val="27"/>
          <w:szCs w:val="27"/>
        </w:rPr>
        <w:t>chiếm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khoảng</w:t>
      </w:r>
      <w:proofErr w:type="spellEnd"/>
      <w:r>
        <w:rPr>
          <w:bCs/>
          <w:sz w:val="27"/>
          <w:szCs w:val="27"/>
        </w:rPr>
        <w:t xml:space="preserve"> 15% </w:t>
      </w:r>
      <w:proofErr w:type="spellStart"/>
      <w:r>
        <w:rPr>
          <w:bCs/>
          <w:sz w:val="27"/>
          <w:szCs w:val="27"/>
        </w:rPr>
        <w:t>giá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trị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thương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hoá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của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giới</w:t>
      </w:r>
      <w:proofErr w:type="spellEnd"/>
      <w:r>
        <w:rPr>
          <w:bCs/>
          <w:sz w:val="27"/>
          <w:szCs w:val="27"/>
        </w:rPr>
        <w:t>.</w:t>
      </w:r>
    </w:p>
    <w:p w14:paraId="08918A01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</w:t>
      </w:r>
      <w:proofErr w:type="spellStart"/>
      <w:r>
        <w:rPr>
          <w:bCs/>
          <w:sz w:val="27"/>
          <w:szCs w:val="27"/>
        </w:rPr>
        <w:t>Đa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số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các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quốc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gia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thành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viên</w:t>
      </w:r>
      <w:proofErr w:type="spellEnd"/>
      <w:r>
        <w:rPr>
          <w:bCs/>
          <w:sz w:val="27"/>
          <w:szCs w:val="27"/>
        </w:rPr>
        <w:t xml:space="preserve"> EU </w:t>
      </w:r>
      <w:proofErr w:type="spellStart"/>
      <w:r>
        <w:rPr>
          <w:bCs/>
          <w:sz w:val="27"/>
          <w:szCs w:val="27"/>
        </w:rPr>
        <w:t>có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nền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kinh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tế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phát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triển</w:t>
      </w:r>
      <w:proofErr w:type="spellEnd"/>
      <w:r>
        <w:rPr>
          <w:bCs/>
          <w:sz w:val="27"/>
          <w:szCs w:val="27"/>
        </w:rPr>
        <w:t>.</w:t>
      </w:r>
    </w:p>
    <w:p w14:paraId="5267FCBD" w14:textId="77777777" w:rsidR="00053163" w:rsidRDefault="00053163" w:rsidP="00053163">
      <w:pPr>
        <w:spacing w:line="360" w:lineRule="auto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2. </w:t>
      </w:r>
      <w:proofErr w:type="spellStart"/>
      <w:r>
        <w:rPr>
          <w:b/>
          <w:i/>
          <w:iCs/>
          <w:sz w:val="27"/>
          <w:szCs w:val="27"/>
        </w:rPr>
        <w:t>Tổ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chức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thương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mại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hàng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đầu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thế</w:t>
      </w:r>
      <w:proofErr w:type="spellEnd"/>
      <w:r>
        <w:rPr>
          <w:b/>
          <w:i/>
          <w:iCs/>
          <w:sz w:val="27"/>
          <w:szCs w:val="27"/>
        </w:rPr>
        <w:t xml:space="preserve"> </w:t>
      </w:r>
      <w:proofErr w:type="spellStart"/>
      <w:r>
        <w:rPr>
          <w:b/>
          <w:i/>
          <w:iCs/>
          <w:sz w:val="27"/>
          <w:szCs w:val="27"/>
        </w:rPr>
        <w:t>giới</w:t>
      </w:r>
      <w:proofErr w:type="spellEnd"/>
    </w:p>
    <w:p w14:paraId="7A57B739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Nền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kinh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tế</w:t>
      </w:r>
      <w:proofErr w:type="spellEnd"/>
      <w:r>
        <w:rPr>
          <w:bCs/>
          <w:sz w:val="27"/>
          <w:szCs w:val="27"/>
        </w:rPr>
        <w:t xml:space="preserve"> EU </w:t>
      </w:r>
      <w:proofErr w:type="spellStart"/>
      <w:r>
        <w:rPr>
          <w:bCs/>
          <w:sz w:val="27"/>
          <w:szCs w:val="27"/>
        </w:rPr>
        <w:t>phụ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thuộc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chặt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chẽ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vào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hoạt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động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thương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mại</w:t>
      </w:r>
      <w:proofErr w:type="spellEnd"/>
      <w:r>
        <w:rPr>
          <w:bCs/>
          <w:sz w:val="27"/>
          <w:szCs w:val="27"/>
        </w:rPr>
        <w:t xml:space="preserve">. </w:t>
      </w:r>
    </w:p>
    <w:p w14:paraId="121CFA60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Hoạt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động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ngoại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thương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được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đẩy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mạnh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thông</w:t>
      </w:r>
      <w:proofErr w:type="spellEnd"/>
      <w:r>
        <w:rPr>
          <w:bCs/>
          <w:sz w:val="27"/>
          <w:szCs w:val="27"/>
        </w:rPr>
        <w:t xml:space="preserve"> qua </w:t>
      </w:r>
      <w:proofErr w:type="spellStart"/>
      <w:r>
        <w:rPr>
          <w:bCs/>
          <w:sz w:val="27"/>
          <w:szCs w:val="27"/>
        </w:rPr>
        <w:t>hoạt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động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xuất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nhập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khẩu</w:t>
      </w:r>
      <w:proofErr w:type="spellEnd"/>
      <w:r>
        <w:rPr>
          <w:bCs/>
          <w:sz w:val="27"/>
          <w:szCs w:val="27"/>
        </w:rPr>
        <w:t xml:space="preserve">. </w:t>
      </w:r>
    </w:p>
    <w:p w14:paraId="7CBDE14E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Các </w:t>
      </w:r>
      <w:proofErr w:type="spellStart"/>
      <w:r>
        <w:rPr>
          <w:bCs/>
          <w:sz w:val="27"/>
          <w:szCs w:val="27"/>
        </w:rPr>
        <w:t>bạn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lớn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của</w:t>
      </w:r>
      <w:proofErr w:type="spellEnd"/>
      <w:r>
        <w:rPr>
          <w:bCs/>
          <w:sz w:val="27"/>
          <w:szCs w:val="27"/>
        </w:rPr>
        <w:t xml:space="preserve"> EU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Trung Quốc, Hoa </w:t>
      </w:r>
      <w:proofErr w:type="spellStart"/>
      <w:r>
        <w:rPr>
          <w:bCs/>
          <w:sz w:val="27"/>
          <w:szCs w:val="27"/>
        </w:rPr>
        <w:t>Kỳ</w:t>
      </w:r>
      <w:proofErr w:type="spellEnd"/>
      <w:r>
        <w:rPr>
          <w:bCs/>
          <w:sz w:val="27"/>
          <w:szCs w:val="27"/>
        </w:rPr>
        <w:t xml:space="preserve">, Anh, </w:t>
      </w:r>
      <w:proofErr w:type="gramStart"/>
      <w:r>
        <w:rPr>
          <w:bCs/>
          <w:sz w:val="27"/>
          <w:szCs w:val="27"/>
        </w:rPr>
        <w:t>ASEAN,...</w:t>
      </w:r>
      <w:proofErr w:type="gramEnd"/>
      <w:r>
        <w:rPr>
          <w:bCs/>
          <w:sz w:val="27"/>
          <w:szCs w:val="27"/>
        </w:rPr>
        <w:t xml:space="preserve"> </w:t>
      </w:r>
    </w:p>
    <w:p w14:paraId="1B796287" w14:textId="77777777" w:rsidR="00053163" w:rsidRDefault="00053163" w:rsidP="00053163">
      <w:pPr>
        <w:spacing w:line="360" w:lineRule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Các </w:t>
      </w:r>
      <w:proofErr w:type="spellStart"/>
      <w:r>
        <w:rPr>
          <w:bCs/>
          <w:sz w:val="27"/>
          <w:szCs w:val="27"/>
        </w:rPr>
        <w:t>mặt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xuất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khẩu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đầu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của</w:t>
      </w:r>
      <w:proofErr w:type="spellEnd"/>
      <w:r>
        <w:rPr>
          <w:bCs/>
          <w:sz w:val="27"/>
          <w:szCs w:val="27"/>
        </w:rPr>
        <w:t xml:space="preserve"> EU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máy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móc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thiết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bị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dược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phẩm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xe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có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động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cơ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sản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phẩm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hoá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chất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máy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tính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điện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tử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sản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phẩm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quang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proofErr w:type="gramStart"/>
      <w:r>
        <w:rPr>
          <w:bCs/>
          <w:sz w:val="27"/>
          <w:szCs w:val="27"/>
        </w:rPr>
        <w:t>học</w:t>
      </w:r>
      <w:proofErr w:type="spellEnd"/>
      <w:r>
        <w:rPr>
          <w:bCs/>
          <w:sz w:val="27"/>
          <w:szCs w:val="27"/>
        </w:rPr>
        <w:t>,...</w:t>
      </w:r>
      <w:proofErr w:type="gramEnd"/>
      <w:r>
        <w:rPr>
          <w:bCs/>
          <w:sz w:val="27"/>
          <w:szCs w:val="27"/>
        </w:rPr>
        <w:t xml:space="preserve"> Các </w:t>
      </w:r>
      <w:proofErr w:type="spellStart"/>
      <w:r>
        <w:rPr>
          <w:bCs/>
          <w:sz w:val="27"/>
          <w:szCs w:val="27"/>
        </w:rPr>
        <w:t>mặt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hàng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nhập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khẩu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chủ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yếu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máy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tính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sản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phẩm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điện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tử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quang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học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dầu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thô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khí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tự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nhiên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hoá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chất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sản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phẩm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hoá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học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máy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móc</w:t>
      </w:r>
      <w:proofErr w:type="spellEnd"/>
      <w:r>
        <w:rPr>
          <w:bCs/>
          <w:sz w:val="27"/>
          <w:szCs w:val="27"/>
        </w:rPr>
        <w:t xml:space="preserve">, </w:t>
      </w:r>
      <w:proofErr w:type="spellStart"/>
      <w:r>
        <w:rPr>
          <w:bCs/>
          <w:sz w:val="27"/>
          <w:szCs w:val="27"/>
        </w:rPr>
        <w:t>thiết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bị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và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kim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loại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bản</w:t>
      </w:r>
      <w:proofErr w:type="spellEnd"/>
      <w:r>
        <w:rPr>
          <w:bCs/>
          <w:sz w:val="27"/>
          <w:szCs w:val="27"/>
        </w:rPr>
        <w:t>,...</w:t>
      </w:r>
    </w:p>
    <w:p w14:paraId="73D7D744" w14:textId="2791A24D" w:rsidR="00053163" w:rsidRDefault="00053163" w:rsidP="0005316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EU </w:t>
      </w:r>
      <w:proofErr w:type="spellStart"/>
      <w:r>
        <w:rPr>
          <w:bCs/>
          <w:sz w:val="27"/>
          <w:szCs w:val="27"/>
        </w:rPr>
        <w:t>ủng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hộ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chính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sách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tự</w:t>
      </w:r>
      <w:proofErr w:type="spellEnd"/>
      <w:r>
        <w:rPr>
          <w:bCs/>
          <w:sz w:val="27"/>
          <w:szCs w:val="27"/>
        </w:rPr>
        <w:t xml:space="preserve"> do </w:t>
      </w:r>
      <w:proofErr w:type="spellStart"/>
      <w:r>
        <w:rPr>
          <w:bCs/>
          <w:sz w:val="27"/>
          <w:szCs w:val="27"/>
        </w:rPr>
        <w:t>thương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trên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toàn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cầu</w:t>
      </w:r>
      <w:proofErr w:type="spellEnd"/>
      <w:r>
        <w:rPr>
          <w:bCs/>
          <w:sz w:val="27"/>
          <w:szCs w:val="27"/>
        </w:rPr>
        <w:t xml:space="preserve">. </w:t>
      </w:r>
    </w:p>
    <w:p w14:paraId="2FC8A4FA" w14:textId="77777777" w:rsidR="00053163" w:rsidRDefault="00053163" w:rsidP="00053163">
      <w:pPr>
        <w:spacing w:before="120" w:line="360" w:lineRule="auto"/>
        <w:rPr>
          <w:bCs/>
          <w:i/>
          <w:iCs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III. </w:t>
      </w:r>
      <w:proofErr w:type="spellStart"/>
      <w:r>
        <w:rPr>
          <w:b/>
          <w:color w:val="000000"/>
          <w:sz w:val="27"/>
          <w:szCs w:val="27"/>
        </w:rPr>
        <w:t>Hợp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tác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và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liên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kết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trong</w:t>
      </w:r>
      <w:proofErr w:type="spellEnd"/>
      <w:r>
        <w:rPr>
          <w:b/>
          <w:color w:val="000000"/>
          <w:sz w:val="27"/>
          <w:szCs w:val="27"/>
        </w:rPr>
        <w:t xml:space="preserve"> EU</w:t>
      </w:r>
    </w:p>
    <w:p w14:paraId="3F6DE350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1. Thị </w:t>
      </w:r>
      <w:proofErr w:type="spellStart"/>
      <w:r>
        <w:rPr>
          <w:b/>
          <w:color w:val="000000"/>
          <w:sz w:val="27"/>
          <w:szCs w:val="27"/>
        </w:rPr>
        <w:t>trường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chung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châu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Âu</w:t>
      </w:r>
      <w:proofErr w:type="spellEnd"/>
    </w:p>
    <w:p w14:paraId="75B63B64" w14:textId="77777777" w:rsidR="00053163" w:rsidRDefault="00053163" w:rsidP="00053163">
      <w:pPr>
        <w:spacing w:line="360" w:lineRule="auto"/>
        <w:rPr>
          <w:b/>
          <w:i/>
          <w:iCs/>
          <w:color w:val="000000"/>
          <w:sz w:val="27"/>
          <w:szCs w:val="27"/>
        </w:rPr>
      </w:pPr>
      <w:r>
        <w:rPr>
          <w:b/>
          <w:i/>
          <w:iCs/>
          <w:color w:val="000000"/>
          <w:sz w:val="27"/>
          <w:szCs w:val="27"/>
        </w:rPr>
        <w:t xml:space="preserve">a. </w:t>
      </w:r>
      <w:proofErr w:type="spellStart"/>
      <w:r>
        <w:rPr>
          <w:b/>
          <w:i/>
          <w:iCs/>
          <w:color w:val="000000"/>
          <w:sz w:val="27"/>
          <w:szCs w:val="27"/>
        </w:rPr>
        <w:t>Tự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do </w:t>
      </w:r>
      <w:proofErr w:type="spellStart"/>
      <w:r>
        <w:rPr>
          <w:b/>
          <w:i/>
          <w:iCs/>
          <w:color w:val="000000"/>
          <w:sz w:val="27"/>
          <w:szCs w:val="27"/>
        </w:rPr>
        <w:t>lưu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thông</w:t>
      </w:r>
      <w:proofErr w:type="spellEnd"/>
    </w:p>
    <w:p w14:paraId="6B116888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di </w:t>
      </w:r>
      <w:proofErr w:type="spellStart"/>
      <w:r>
        <w:rPr>
          <w:bCs/>
          <w:color w:val="000000"/>
          <w:sz w:val="27"/>
          <w:szCs w:val="27"/>
        </w:rPr>
        <w:t>chuyển</w:t>
      </w:r>
      <w:proofErr w:type="spellEnd"/>
      <w:r>
        <w:rPr>
          <w:bCs/>
          <w:color w:val="000000"/>
          <w:sz w:val="27"/>
          <w:szCs w:val="27"/>
        </w:rPr>
        <w:t xml:space="preserve">: Quyền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đi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lại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cư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trú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tu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lua</w:t>
      </w:r>
      <w:proofErr w:type="spellEnd"/>
      <w:r>
        <w:rPr>
          <w:bCs/>
          <w:color w:val="000000"/>
          <w:sz w:val="27"/>
          <w:szCs w:val="27"/>
        </w:rPr>
        <w:t xml:space="preserve"> chon </w:t>
      </w:r>
      <w:proofErr w:type="spellStart"/>
      <w:r>
        <w:rPr>
          <w:bCs/>
          <w:color w:val="000000"/>
          <w:sz w:val="27"/>
          <w:szCs w:val="27"/>
        </w:rPr>
        <w:t>nơi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làm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việc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được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đảm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bảo</w:t>
      </w:r>
      <w:proofErr w:type="spellEnd"/>
    </w:p>
    <w:p w14:paraId="15E41754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lưu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dịch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vụ</w:t>
      </w:r>
      <w:proofErr w:type="spellEnd"/>
      <w:r>
        <w:rPr>
          <w:bCs/>
          <w:color w:val="000000"/>
          <w:sz w:val="27"/>
          <w:szCs w:val="27"/>
        </w:rPr>
        <w:t xml:space="preserve">: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đối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với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dịch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vụ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như</w:t>
      </w:r>
      <w:proofErr w:type="spellEnd"/>
      <w:r>
        <w:rPr>
          <w:bCs/>
          <w:color w:val="000000"/>
          <w:sz w:val="27"/>
          <w:szCs w:val="27"/>
        </w:rPr>
        <w:t xml:space="preserve">: </w:t>
      </w:r>
      <w:proofErr w:type="spellStart"/>
      <w:r>
        <w:rPr>
          <w:bCs/>
          <w:color w:val="000000"/>
          <w:sz w:val="27"/>
          <w:szCs w:val="27"/>
        </w:rPr>
        <w:t>dịch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vụ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vận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tải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tin </w:t>
      </w:r>
      <w:proofErr w:type="spellStart"/>
      <w:r>
        <w:rPr>
          <w:bCs/>
          <w:color w:val="000000"/>
          <w:sz w:val="27"/>
          <w:szCs w:val="27"/>
        </w:rPr>
        <w:t>liên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lạc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ngân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hàng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kiểm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toán</w:t>
      </w:r>
      <w:proofErr w:type="spellEnd"/>
      <w:r>
        <w:rPr>
          <w:bCs/>
          <w:color w:val="000000"/>
          <w:sz w:val="27"/>
          <w:szCs w:val="27"/>
        </w:rPr>
        <w:t xml:space="preserve"> du lich....</w:t>
      </w:r>
    </w:p>
    <w:p w14:paraId="6A5FB6F9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lưu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hàng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hoá</w:t>
      </w:r>
      <w:proofErr w:type="spellEnd"/>
      <w:r>
        <w:rPr>
          <w:bCs/>
          <w:color w:val="000000"/>
          <w:sz w:val="27"/>
          <w:szCs w:val="27"/>
        </w:rPr>
        <w:t xml:space="preserve">: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lưu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bán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trong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toàn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trường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chung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các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sản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phẩm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sản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xuất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hợp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pháp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mà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không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phải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chịu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thuế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gia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tăng</w:t>
      </w:r>
      <w:proofErr w:type="spellEnd"/>
    </w:p>
    <w:p w14:paraId="74FB56E7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color w:val="000000"/>
          <w:sz w:val="27"/>
          <w:szCs w:val="27"/>
        </w:rPr>
        <w:t>Tự</w:t>
      </w:r>
      <w:proofErr w:type="spellEnd"/>
      <w:r>
        <w:rPr>
          <w:bCs/>
          <w:color w:val="000000"/>
          <w:sz w:val="27"/>
          <w:szCs w:val="27"/>
        </w:rPr>
        <w:t xml:space="preserve"> do </w:t>
      </w:r>
      <w:proofErr w:type="spellStart"/>
      <w:r>
        <w:rPr>
          <w:bCs/>
          <w:color w:val="000000"/>
          <w:sz w:val="27"/>
          <w:szCs w:val="27"/>
        </w:rPr>
        <w:t>lưu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thông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tiền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vốn</w:t>
      </w:r>
      <w:proofErr w:type="spellEnd"/>
      <w:r>
        <w:rPr>
          <w:bCs/>
          <w:color w:val="000000"/>
          <w:sz w:val="27"/>
          <w:szCs w:val="27"/>
        </w:rPr>
        <w:t xml:space="preserve">: Các </w:t>
      </w:r>
      <w:proofErr w:type="spellStart"/>
      <w:r>
        <w:rPr>
          <w:bCs/>
          <w:color w:val="000000"/>
          <w:sz w:val="27"/>
          <w:szCs w:val="27"/>
        </w:rPr>
        <w:t>hạn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chế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đối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với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thanh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toán</w:t>
      </w:r>
      <w:proofErr w:type="spellEnd"/>
      <w:r>
        <w:rPr>
          <w:bCs/>
          <w:color w:val="000000"/>
          <w:sz w:val="27"/>
          <w:szCs w:val="27"/>
        </w:rPr>
        <w:t xml:space="preserve">. </w:t>
      </w:r>
      <w:proofErr w:type="spellStart"/>
      <w:r>
        <w:rPr>
          <w:bCs/>
          <w:color w:val="000000"/>
          <w:sz w:val="27"/>
          <w:szCs w:val="27"/>
        </w:rPr>
        <w:t>giao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dịch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được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bãi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bỏ</w:t>
      </w:r>
      <w:proofErr w:type="spellEnd"/>
      <w:r>
        <w:rPr>
          <w:bCs/>
          <w:color w:val="000000"/>
          <w:sz w:val="27"/>
          <w:szCs w:val="27"/>
        </w:rPr>
        <w:t xml:space="preserve">. Các </w:t>
      </w:r>
      <w:proofErr w:type="spellStart"/>
      <w:r>
        <w:rPr>
          <w:bCs/>
          <w:color w:val="000000"/>
          <w:sz w:val="27"/>
          <w:szCs w:val="27"/>
        </w:rPr>
        <w:t>nhà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đầu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tư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có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thể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lựa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chọn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khả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năng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đầu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tư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có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lợi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nhất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mở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tài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khoản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ngân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hàng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trong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nội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khối</w:t>
      </w:r>
      <w:proofErr w:type="spellEnd"/>
    </w:p>
    <w:p w14:paraId="6941E40F" w14:textId="77777777" w:rsidR="00053163" w:rsidRDefault="00053163" w:rsidP="00053163">
      <w:pPr>
        <w:spacing w:line="360" w:lineRule="auto"/>
        <w:rPr>
          <w:b/>
          <w:i/>
          <w:iCs/>
          <w:color w:val="000000"/>
          <w:sz w:val="27"/>
          <w:szCs w:val="27"/>
        </w:rPr>
      </w:pPr>
      <w:r>
        <w:rPr>
          <w:b/>
          <w:i/>
          <w:iCs/>
          <w:color w:val="000000"/>
          <w:sz w:val="27"/>
          <w:szCs w:val="27"/>
        </w:rPr>
        <w:t xml:space="preserve">b) </w:t>
      </w:r>
      <w:proofErr w:type="spellStart"/>
      <w:r>
        <w:rPr>
          <w:b/>
          <w:i/>
          <w:iCs/>
          <w:color w:val="000000"/>
          <w:sz w:val="27"/>
          <w:szCs w:val="27"/>
        </w:rPr>
        <w:t>Đồng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tiền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chung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châu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i/>
          <w:iCs/>
          <w:color w:val="000000"/>
          <w:sz w:val="27"/>
          <w:szCs w:val="27"/>
        </w:rPr>
        <w:t>Âu</w:t>
      </w:r>
      <w:proofErr w:type="spellEnd"/>
      <w:r>
        <w:rPr>
          <w:b/>
          <w:i/>
          <w:iCs/>
          <w:color w:val="000000"/>
          <w:sz w:val="27"/>
          <w:szCs w:val="27"/>
        </w:rPr>
        <w:t xml:space="preserve"> (Ơ-</w:t>
      </w:r>
      <w:proofErr w:type="spellStart"/>
      <w:r>
        <w:rPr>
          <w:b/>
          <w:i/>
          <w:iCs/>
          <w:color w:val="000000"/>
          <w:sz w:val="27"/>
          <w:szCs w:val="27"/>
        </w:rPr>
        <w:t>rô</w:t>
      </w:r>
      <w:proofErr w:type="spellEnd"/>
      <w:r>
        <w:rPr>
          <w:b/>
          <w:i/>
          <w:iCs/>
          <w:color w:val="000000"/>
          <w:sz w:val="27"/>
          <w:szCs w:val="27"/>
        </w:rPr>
        <w:t>)</w:t>
      </w:r>
    </w:p>
    <w:p w14:paraId="1FD7154D" w14:textId="77777777" w:rsidR="00053163" w:rsidRDefault="00053163" w:rsidP="00053163">
      <w:pPr>
        <w:spacing w:line="360" w:lineRule="auto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</w:t>
      </w:r>
      <w:proofErr w:type="spellStart"/>
      <w:r>
        <w:rPr>
          <w:bCs/>
          <w:color w:val="000000"/>
          <w:sz w:val="27"/>
          <w:szCs w:val="27"/>
        </w:rPr>
        <w:t>Việc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đưa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vào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sử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dụng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đồng</w:t>
      </w:r>
      <w:proofErr w:type="spellEnd"/>
      <w:r>
        <w:rPr>
          <w:bCs/>
          <w:color w:val="000000"/>
          <w:sz w:val="27"/>
          <w:szCs w:val="27"/>
        </w:rPr>
        <w:t xml:space="preserve"> Ơ-</w:t>
      </w:r>
      <w:proofErr w:type="spellStart"/>
      <w:r>
        <w:rPr>
          <w:bCs/>
          <w:color w:val="000000"/>
          <w:sz w:val="27"/>
          <w:szCs w:val="27"/>
        </w:rPr>
        <w:t>rô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có</w:t>
      </w:r>
      <w:proofErr w:type="spellEnd"/>
      <w:r>
        <w:rPr>
          <w:bCs/>
          <w:color w:val="000000"/>
          <w:sz w:val="27"/>
          <w:szCs w:val="27"/>
        </w:rPr>
        <w:t xml:space="preserve"> ý </w:t>
      </w:r>
      <w:proofErr w:type="spellStart"/>
      <w:r>
        <w:rPr>
          <w:bCs/>
          <w:color w:val="000000"/>
          <w:sz w:val="27"/>
          <w:szCs w:val="27"/>
        </w:rPr>
        <w:t>nghĩa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quan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trọng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trong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việc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nâng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cao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sức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cạnh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tranh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của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thị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trường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chung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châu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Âu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xoá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bỏ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những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rủi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ro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khi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chuyển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đổi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tiền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tệ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tạo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thuận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lợi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cho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việc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sản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xuất</w:t>
      </w:r>
      <w:proofErr w:type="spellEnd"/>
      <w:r>
        <w:rPr>
          <w:bCs/>
          <w:color w:val="000000"/>
          <w:sz w:val="27"/>
          <w:szCs w:val="27"/>
        </w:rPr>
        <w:t xml:space="preserve">, </w:t>
      </w:r>
      <w:proofErr w:type="spellStart"/>
      <w:r>
        <w:rPr>
          <w:bCs/>
          <w:color w:val="000000"/>
          <w:sz w:val="27"/>
          <w:szCs w:val="27"/>
        </w:rPr>
        <w:t>kinh</w:t>
      </w:r>
      <w:proofErr w:type="spellEnd"/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doanh</w:t>
      </w:r>
      <w:proofErr w:type="spellEnd"/>
      <w:r>
        <w:rPr>
          <w:bCs/>
          <w:color w:val="000000"/>
          <w:sz w:val="27"/>
          <w:szCs w:val="27"/>
        </w:rPr>
        <w:t>.</w:t>
      </w:r>
    </w:p>
    <w:p w14:paraId="1958FC7F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2. </w:t>
      </w:r>
      <w:proofErr w:type="spellStart"/>
      <w:r>
        <w:rPr>
          <w:b/>
          <w:color w:val="000000"/>
          <w:sz w:val="27"/>
          <w:szCs w:val="27"/>
        </w:rPr>
        <w:t>Hợp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tác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trong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sản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xuất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và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dịch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vụ</w:t>
      </w:r>
      <w:proofErr w:type="spellEnd"/>
    </w:p>
    <w:tbl>
      <w:tblPr>
        <w:tblStyle w:val="TableGrid1"/>
        <w:tblW w:w="9711" w:type="dxa"/>
        <w:tblInd w:w="-5" w:type="dxa"/>
        <w:tblLook w:val="04A0" w:firstRow="1" w:lastRow="0" w:firstColumn="1" w:lastColumn="0" w:noHBand="0" w:noVBand="1"/>
      </w:tblPr>
      <w:tblGrid>
        <w:gridCol w:w="2974"/>
        <w:gridCol w:w="6737"/>
      </w:tblGrid>
      <w:tr w:rsidR="00053163" w14:paraId="5BC717CF" w14:textId="77777777" w:rsidTr="00053163">
        <w:trPr>
          <w:trHeight w:val="828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C161" w14:textId="77777777" w:rsidR="00053163" w:rsidRDefault="00053163">
            <w:pPr>
              <w:spacing w:line="360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PHIẾU HỌC TẬP SỐ 2</w:t>
            </w:r>
          </w:p>
          <w:p w14:paraId="67705704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bCs/>
                <w:color w:val="000000"/>
                <w:sz w:val="27"/>
                <w:szCs w:val="27"/>
              </w:rPr>
              <w:t>Nhóm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:…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..</w:t>
            </w:r>
          </w:p>
        </w:tc>
      </w:tr>
      <w:tr w:rsidR="00053163" w14:paraId="12E7E4D2" w14:textId="77777777" w:rsidTr="00053163">
        <w:trPr>
          <w:trHeight w:val="8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347D" w14:textId="77777777" w:rsidR="00053163" w:rsidRDefault="00053163">
            <w:pPr>
              <w:spacing w:line="360" w:lineRule="auto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Lĩnh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vực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tác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trong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dịch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vụ</w:t>
            </w:r>
            <w:proofErr w:type="spellEnd"/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ACE0" w14:textId="77777777" w:rsidR="00053163" w:rsidRDefault="00053163">
            <w:pPr>
              <w:spacing w:line="360" w:lineRule="auto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Nội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tác</w:t>
            </w:r>
            <w:proofErr w:type="spellEnd"/>
          </w:p>
        </w:tc>
      </w:tr>
      <w:tr w:rsidR="00053163" w14:paraId="1E22B130" w14:textId="77777777" w:rsidTr="00053163">
        <w:trPr>
          <w:trHeight w:val="8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FECA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Trong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nghiệp</w:t>
            </w:r>
            <w:proofErr w:type="spellEnd"/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758F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Nhiều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nghiệp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quan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trọng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của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EU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được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từ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quốc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như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nghiệp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hàng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không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vũ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trụ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ô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tô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từ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– tin </w:t>
            </w:r>
            <w:proofErr w:type="spellStart"/>
            <w:proofErr w:type="gramStart"/>
            <w:r>
              <w:rPr>
                <w:bCs/>
                <w:color w:val="000000"/>
                <w:sz w:val="27"/>
                <w:szCs w:val="27"/>
              </w:rPr>
              <w:t>học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,..</w:t>
            </w:r>
            <w:proofErr w:type="gramEnd"/>
          </w:p>
        </w:tc>
      </w:tr>
      <w:tr w:rsidR="00053163" w14:paraId="015047AE" w14:textId="77777777" w:rsidTr="00053163">
        <w:trPr>
          <w:trHeight w:val="8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47CB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Trong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nghiệp</w:t>
            </w:r>
            <w:proofErr w:type="spellEnd"/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09EB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Các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quốc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EU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cũng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tăng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cường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sự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trong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xuất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tiêu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thụ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sản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nhằm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hướng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đến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mục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tiêu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đảm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bảo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an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ninh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lương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chung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tăng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khả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năng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cạnh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tranh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thị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trường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thế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giới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.</w:t>
            </w:r>
          </w:p>
        </w:tc>
      </w:tr>
      <w:tr w:rsidR="00053163" w14:paraId="36C65EEF" w14:textId="77777777" w:rsidTr="00053163">
        <w:trPr>
          <w:trHeight w:val="3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8060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Trong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lĩnh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dịch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vụ</w:t>
            </w:r>
            <w:proofErr w:type="spellEnd"/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DC7B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Chính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sách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tự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do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lưu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đã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thúc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đẩy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mạnh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mẽ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trong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lĩnh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dịch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vụ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Hệ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thống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giao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vận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tải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ở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quốc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EU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được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kết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nối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thông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suốt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hiện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đại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giúp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việc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di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chuyển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nhanh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hơn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an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toàn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hơn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thời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thúc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đầy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giải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pháp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kĩ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thuật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số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phát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triển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bền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vững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. </w:t>
            </w:r>
          </w:p>
        </w:tc>
      </w:tr>
      <w:tr w:rsidR="00053163" w14:paraId="574FE8FC" w14:textId="77777777" w:rsidTr="00053163">
        <w:trPr>
          <w:trHeight w:val="828"/>
        </w:trPr>
        <w:tc>
          <w:tcPr>
            <w:tcW w:w="9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A327F" w14:textId="64EC1CEB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</w:p>
        </w:tc>
      </w:tr>
      <w:tr w:rsidR="00053163" w14:paraId="23985B3A" w14:textId="77777777" w:rsidTr="00053163">
        <w:trPr>
          <w:trHeight w:val="396"/>
        </w:trPr>
        <w:tc>
          <w:tcPr>
            <w:tcW w:w="9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9E3E3" w14:textId="511E453A" w:rsidR="00053163" w:rsidRPr="00053163" w:rsidRDefault="00053163" w:rsidP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</w:p>
        </w:tc>
      </w:tr>
    </w:tbl>
    <w:p w14:paraId="5B7E2F69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</w:p>
    <w:p w14:paraId="4BEEFA53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3. Liên </w:t>
      </w:r>
      <w:proofErr w:type="spellStart"/>
      <w:r>
        <w:rPr>
          <w:b/>
          <w:color w:val="000000"/>
          <w:sz w:val="27"/>
          <w:szCs w:val="27"/>
        </w:rPr>
        <w:t>kết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vùng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châu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Âu</w:t>
      </w:r>
      <w:proofErr w:type="spellEnd"/>
    </w:p>
    <w:tbl>
      <w:tblPr>
        <w:tblStyle w:val="TableGrid1"/>
        <w:tblW w:w="9786" w:type="dxa"/>
        <w:tblInd w:w="0" w:type="dxa"/>
        <w:tblLook w:val="04A0" w:firstRow="1" w:lastRow="0" w:firstColumn="1" w:lastColumn="0" w:noHBand="0" w:noVBand="1"/>
      </w:tblPr>
      <w:tblGrid>
        <w:gridCol w:w="2689"/>
        <w:gridCol w:w="7097"/>
      </w:tblGrid>
      <w:tr w:rsidR="00053163" w14:paraId="4108DB44" w14:textId="77777777" w:rsidTr="00053163">
        <w:trPr>
          <w:trHeight w:val="573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33BA" w14:textId="77777777" w:rsidR="00053163" w:rsidRDefault="00053163">
            <w:pPr>
              <w:spacing w:line="360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PHIẾU HỌC TẬP SỐ 3</w:t>
            </w:r>
          </w:p>
          <w:p w14:paraId="3B80389E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bCs/>
                <w:color w:val="000000"/>
                <w:sz w:val="27"/>
                <w:szCs w:val="27"/>
              </w:rPr>
              <w:t>Nhóm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:…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..</w:t>
            </w:r>
          </w:p>
        </w:tc>
      </w:tr>
      <w:tr w:rsidR="00053163" w14:paraId="363BA50C" w14:textId="77777777" w:rsidTr="00053163">
        <w:trPr>
          <w:trHeight w:val="2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9FB1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Khái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niệm</w:t>
            </w:r>
            <w:proofErr w:type="spellEnd"/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F090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Liên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kết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vùng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châu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Âu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(Euroregion)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chỉ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một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khu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biên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giới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của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quốc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EU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ở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đó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người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dân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nước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khác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nhau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tiến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hành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một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số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hoạt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động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hợp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kết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sâu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rộng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về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mặt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kinh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tế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xã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hội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văn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hoá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nhằm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hiện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mục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tiêu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lợi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ích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chung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của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nước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.</w:t>
            </w:r>
          </w:p>
        </w:tc>
      </w:tr>
      <w:tr w:rsidR="00053163" w14:paraId="44F40E81" w14:textId="77777777" w:rsidTr="00053163">
        <w:trPr>
          <w:trHeight w:val="2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3F2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Ý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nghĩa</w:t>
            </w:r>
            <w:proofErr w:type="spellEnd"/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926F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Tăng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cường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quá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trình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kết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nhất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thể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hoá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ở EU.</w:t>
            </w:r>
          </w:p>
          <w:p w14:paraId="56779D04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Tạo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điều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kiện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thuận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lợi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cho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chính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quyền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người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dân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ở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vùng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biên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giới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cùng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nhau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hiện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dự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án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chung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trong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kinh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tế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văn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hoá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giáo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dục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an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ninh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để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tận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dụng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lợi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thế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so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sánh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của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riêng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mỗi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nước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.</w:t>
            </w:r>
          </w:p>
          <w:p w14:paraId="45CF837C" w14:textId="77777777" w:rsidR="00053163" w:rsidRDefault="00053163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Tăng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cường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tình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đoàn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kết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hữu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nghị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giữa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nhân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dân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nước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ở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khu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vực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biên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giới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.</w:t>
            </w:r>
          </w:p>
        </w:tc>
      </w:tr>
    </w:tbl>
    <w:p w14:paraId="7C995A8F" w14:textId="77777777" w:rsidR="00053163" w:rsidRDefault="00053163" w:rsidP="00053163">
      <w:pPr>
        <w:spacing w:line="360" w:lineRule="auto"/>
        <w:rPr>
          <w:b/>
          <w:color w:val="000000"/>
          <w:sz w:val="27"/>
          <w:szCs w:val="27"/>
        </w:rPr>
      </w:pPr>
    </w:p>
    <w:sectPr w:rsidR="0005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F163F"/>
    <w:multiLevelType w:val="hybridMultilevel"/>
    <w:tmpl w:val="D34ECE6A"/>
    <w:lvl w:ilvl="0" w:tplc="8EA82F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4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63"/>
    <w:rsid w:val="00053163"/>
    <w:rsid w:val="009633BB"/>
    <w:rsid w:val="009A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63F8"/>
  <w15:chartTrackingRefBased/>
  <w15:docId w15:val="{2492B932-8F94-43C3-AB78-82D1306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05316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baotram781202@gmail.com</dc:creator>
  <cp:keywords/>
  <dc:description/>
  <cp:lastModifiedBy>baotram781202@gmail.com</cp:lastModifiedBy>
  <cp:revision>2</cp:revision>
  <dcterms:created xsi:type="dcterms:W3CDTF">2023-11-12T08:20:00Z</dcterms:created>
  <dcterms:modified xsi:type="dcterms:W3CDTF">2023-11-12T08:20:00Z</dcterms:modified>
</cp:coreProperties>
</file>