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71A1" w:rsidRPr="005A71A1" w:rsidTr="005A71A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GIÁO DỤC VÀ ĐÀO TẠO</w:t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5A71A1" w:rsidRPr="005A71A1" w:rsidTr="005A71A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5A71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2499/QĐ-BGDĐT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 Nội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26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5A71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2019</w:t>
            </w:r>
          </w:p>
        </w:tc>
      </w:tr>
    </w:tbl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A71A1" w:rsidRPr="005A71A1" w:rsidRDefault="005A71A1" w:rsidP="005A71A1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5A71A1">
        <w:rPr>
          <w:rFonts w:ascii="Arial" w:eastAsia="Times New Roman" w:hAnsi="Arial" w:cs="Arial"/>
          <w:b/>
          <w:bCs/>
          <w:color w:val="000000"/>
          <w:szCs w:val="24"/>
          <w:lang w:val="vi-VN"/>
        </w:rPr>
        <w:t>QUYẾT ĐỊNH</w:t>
      </w:r>
      <w:bookmarkEnd w:id="0"/>
    </w:p>
    <w:p w:rsidR="005A71A1" w:rsidRPr="005A71A1" w:rsidRDefault="005A71A1" w:rsidP="005A71A1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VỀ VIỆC CÔNG BỐ HẾT HIỆU LỰC CÁC ĐIỀU: 6, 8, 9, 10, 11, 12, 13 VÀ 14 CỦA THÔNG TƯ SỐ 17/2012/TT-BGDĐT NGÀY 16 THÁNG 5 NĂM 2012 CỦA BỘ TRƯỞNG BỘ GIÁO DỤC VÀ ĐÀO TẠO BAN HÀNH QUY ĐỊNH VỀ DẠY THÊM, HỌC THÊM</w:t>
      </w:r>
      <w:bookmarkEnd w:id="1"/>
    </w:p>
    <w:p w:rsidR="005A71A1" w:rsidRPr="005A71A1" w:rsidRDefault="005A71A1" w:rsidP="005A71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b/>
          <w:bCs/>
          <w:color w:val="000000"/>
          <w:szCs w:val="24"/>
          <w:lang w:val="vi-VN"/>
        </w:rPr>
        <w:t>BỘ TRƯỞNG BỘ GIÁO DỤC VÀ ĐÀO TẠO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Luật Ban hành văn bản quy phạm pháp luật ngày 22 tháng 6 n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ă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m 2015;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Luật Đầu tư ngày 26 tháng 11 năm 2014; Luật sửa đổi, bổ sung Điều 6 và Phụ lục 4 về Danh mục ngành, nghề đầu tư kinh doanh có điều kiện của Luật Đầu tư ngày 22 tháng 11 năm 2016;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Nghị định s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 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34/2016/NĐ-CP ngày 14 tháng 5 năm 2016 của Chính phủ quy định ch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i 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tiết một số điều và b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ện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 pháp 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thi hành Luật b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a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h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à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v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</w:rPr>
        <w:t>ă</w:t>
      </w: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bản quy phạm pháp luật;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Nghị định số 69/2017/NĐ-CP ngày 25 tháng 5 năm 2017 của Chính phủ quy định chức năng, nhiệm vụ, quyền hạn và cơ cấu tổ chức của Bộ Giáo dục và Đào tạo;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Xét đề nghị của Vụ trưởng Vụ Pháp chế, Vụ trưởng Vụ Giáo dục Trung học,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b/>
          <w:bCs/>
          <w:color w:val="000000"/>
          <w:szCs w:val="24"/>
          <w:lang w:val="vi-VN"/>
        </w:rPr>
        <w:t>QUYẾT ĐỊNH:</w:t>
      </w:r>
    </w:p>
    <w:p w:rsidR="005A71A1" w:rsidRPr="005A71A1" w:rsidRDefault="005A71A1" w:rsidP="005A71A1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"/>
      <w:r w:rsidRPr="005A71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1.</w:t>
      </w:r>
      <w:bookmarkEnd w:id="2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bookmarkStart w:id="3" w:name="dieu_1_name"/>
      <w:r w:rsidRPr="005A71A1">
        <w:rPr>
          <w:rFonts w:ascii="Arial" w:eastAsia="Times New Roman" w:hAnsi="Arial" w:cs="Arial"/>
          <w:color w:val="000000"/>
          <w:sz w:val="18"/>
          <w:szCs w:val="18"/>
        </w:rPr>
        <w:t>Công bố hết hiệu lực các</w:t>
      </w:r>
      <w:bookmarkEnd w:id="3"/>
      <w:r w:rsidRPr="005A71A1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" w:name="dc_1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điều: 6, 8, 9, 10, 11, 12, 13 và 14 của Thông tư số 17/2012/TT-BGDĐT</w:t>
      </w:r>
      <w:bookmarkEnd w:id="4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bookmarkStart w:id="5" w:name="dieu_1_name_name"/>
      <w:r w:rsidRPr="005A71A1">
        <w:rPr>
          <w:rFonts w:ascii="Arial" w:eastAsia="Times New Roman" w:hAnsi="Arial" w:cs="Arial"/>
          <w:color w:val="000000"/>
          <w:sz w:val="18"/>
          <w:szCs w:val="18"/>
        </w:rPr>
        <w:t>ngày 16 tháng 5 năm 2012 của Bộ trưởng Bộ Giáo dục và Đào tạo ban hành quy định về dạy thêm, học thêm.</w:t>
      </w:r>
      <w:bookmarkEnd w:id="5"/>
    </w:p>
    <w:p w:rsidR="005A71A1" w:rsidRPr="005A71A1" w:rsidRDefault="005A71A1" w:rsidP="005A71A1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Lý do: hết hiệu lực theo quy định tại </w:t>
      </w:r>
      <w:bookmarkStart w:id="6" w:name="dc_2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khoản 3 Điều 74 Luật Đầu tư</w:t>
      </w:r>
      <w:bookmarkEnd w:id="6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 ngày 26 tháng 11 năm 2014.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điểm hết hiệu lực: ngày 01 tháng 7 năm 2016.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2</w:t>
      </w:r>
      <w:r w:rsidRPr="005A71A1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5A71A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Quyết định này có hiệu lực thi hành kể từ ngày ký.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3</w:t>
      </w:r>
      <w:r w:rsidRPr="005A71A1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5A71A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Chánh Văn phòng, Vụ trưởng Vụ Pháp chế, Vụ trư</w:t>
      </w:r>
      <w:bookmarkStart w:id="7" w:name="_GoBack"/>
      <w:bookmarkEnd w:id="7"/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ởng Vụ Giáo dục Trung học, Thủ trưởng các đơn vị thuộc Bộ Giáo dục và Đào t</w:t>
      </w:r>
      <w:r w:rsidRPr="005A71A1">
        <w:rPr>
          <w:rFonts w:ascii="Arial" w:eastAsia="Times New Roman" w:hAnsi="Arial" w:cs="Arial"/>
          <w:color w:val="000000"/>
          <w:sz w:val="18"/>
          <w:szCs w:val="18"/>
        </w:rPr>
        <w:t>ạ</w:t>
      </w:r>
      <w:r w:rsidRPr="005A71A1">
        <w:rPr>
          <w:rFonts w:ascii="Arial" w:eastAsia="Times New Roman" w:hAnsi="Arial" w:cs="Arial"/>
          <w:color w:val="000000"/>
          <w:sz w:val="18"/>
          <w:szCs w:val="18"/>
          <w:lang w:val="vi-VN"/>
        </w:rPr>
        <w:t>o, các cơ quan, tổ chức có liên quan chịu trách nhiệm thi hành Quyết định này./.</w:t>
      </w:r>
    </w:p>
    <w:p w:rsidR="005A71A1" w:rsidRPr="005A71A1" w:rsidRDefault="005A71A1" w:rsidP="005A71A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71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5A71A1" w:rsidRPr="005A71A1" w:rsidTr="005A71A1">
        <w:trPr>
          <w:trHeight w:val="1762"/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5A71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Văn phòng Chủ tịch nước;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Văn phòng Chính ph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ủ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V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ă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 phòng Quốc hội;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Các bộ, cơ quan ngang bộ, cơ quan thuộc Chính phủ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Tòa án nhân dân t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i cao;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Viện Kiểm sát nhân dân tối cao;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 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BND các tỉnh, thành ph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trực thuộc TW;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Công báo;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Bộ trưởng (để b/c);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Như Điều 3;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Cổng TTĐT Bộ GDĐT;</w:t>
            </w:r>
            <w:r w:rsidRPr="005A71A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 VT, GDTrH, PC(8).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A1" w:rsidRPr="005A71A1" w:rsidRDefault="005A71A1" w:rsidP="005A71A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KT. BỘ TRƯỞNG</w:t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THỨ TRƯỞNG</w:t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7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Nguyễn Hữu Độ</w:t>
            </w:r>
          </w:p>
        </w:tc>
      </w:tr>
    </w:tbl>
    <w:p w:rsidR="00475B86" w:rsidRDefault="00475B86"/>
    <w:sectPr w:rsidR="00475B86" w:rsidSect="005B641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1"/>
    <w:rsid w:val="004469D5"/>
    <w:rsid w:val="00475B86"/>
    <w:rsid w:val="005A71A1"/>
    <w:rsid w:val="005B641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A906-6242-4E1D-99F8-71AF985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1A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2021-08-10T13:05:00Z</dcterms:created>
  <dcterms:modified xsi:type="dcterms:W3CDTF">2021-08-10T13:07:00Z</dcterms:modified>
</cp:coreProperties>
</file>