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tblPr>
      <w:tblGrid>
        <w:gridCol w:w="5418"/>
        <w:gridCol w:w="6408"/>
      </w:tblGrid>
      <w:tr w:rsidR="0072270E" w:rsidRPr="0072270E" w:rsidTr="0072270E">
        <w:trPr>
          <w:trHeight w:val="719"/>
        </w:trPr>
        <w:tc>
          <w:tcPr>
            <w:tcW w:w="5418" w:type="dxa"/>
          </w:tcPr>
          <w:p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p>
          <w:p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rsidR="0072270E" w:rsidRPr="0072270E" w:rsidRDefault="0072270E" w:rsidP="0072270E">
      <w:pPr>
        <w:spacing w:line="276" w:lineRule="auto"/>
        <w:jc w:val="center"/>
        <w:rPr>
          <w:rFonts w:ascii="Times New Roman" w:hAnsi="Times New Roman" w:cs="Times New Roman"/>
          <w:b/>
          <w:iCs/>
          <w:sz w:val="28"/>
        </w:rPr>
      </w:pPr>
    </w:p>
    <w:p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rsidR="003C0E3F" w:rsidRDefault="003C0E3F" w:rsidP="003C0E3F">
      <w:pPr>
        <w:pStyle w:val="ListParagraph"/>
        <w:jc w:val="center"/>
        <w:rPr>
          <w:rFonts w:ascii="Times New Roman" w:hAnsi="Times New Roman" w:cs="Times New Roman"/>
          <w:b/>
          <w:bCs/>
        </w:rPr>
      </w:pPr>
    </w:p>
    <w:p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rsidR="00017A66" w:rsidRPr="00017A66" w:rsidRDefault="00017A66" w:rsidP="00017A66">
      <w:pPr>
        <w:ind w:left="360"/>
        <w:rPr>
          <w:rFonts w:ascii="Times New Roman" w:hAnsi="Times New Roman" w:cs="Times New Roman"/>
          <w:b/>
          <w:bCs/>
        </w:rPr>
      </w:pPr>
    </w:p>
    <w:tbl>
      <w:tblPr>
        <w:tblStyle w:val="TableGrid"/>
        <w:tblW w:w="0" w:type="auto"/>
        <w:tblLook w:val="04A0"/>
      </w:tblPr>
      <w:tblGrid>
        <w:gridCol w:w="2547"/>
        <w:gridCol w:w="6803"/>
      </w:tblGrid>
      <w:tr w:rsidR="006D20E2" w:rsidTr="009C2802">
        <w:tc>
          <w:tcPr>
            <w:tcW w:w="2547" w:type="dxa"/>
          </w:tcPr>
          <w:p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rsidTr="009C2802">
        <w:tc>
          <w:tcPr>
            <w:tcW w:w="2547" w:type="dxa"/>
          </w:tcPr>
          <w:p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w:t>
            </w:r>
            <w:r w:rsidR="00A67A7B">
              <w:rPr>
                <w:rFonts w:ascii="Times New Roman" w:hAnsi="Times New Roman" w:cs="Times New Roman"/>
                <w:b/>
                <w:bCs/>
              </w:rPr>
              <w:t>1</w:t>
            </w:r>
          </w:p>
        </w:tc>
        <w:tc>
          <w:tcPr>
            <w:tcW w:w="6803" w:type="dxa"/>
          </w:tcPr>
          <w:p w:rsidR="00A67A7B" w:rsidRDefault="00A67A7B" w:rsidP="00A67A7B">
            <w:pPr>
              <w:rPr>
                <w:rFonts w:ascii="Times New Roman" w:hAnsi="Times New Roman" w:cs="Times New Roman"/>
                <w:b/>
                <w:bCs/>
              </w:rPr>
            </w:pPr>
            <w:r>
              <w:rPr>
                <w:rFonts w:ascii="Times New Roman" w:hAnsi="Times New Roman" w:cs="Times New Roman"/>
                <w:b/>
                <w:bCs/>
              </w:rPr>
              <w:t xml:space="preserve">Tên bài học: </w:t>
            </w:r>
            <w:r w:rsidR="00E77888">
              <w:rPr>
                <w:rFonts w:ascii="Times New Roman" w:hAnsi="Times New Roman" w:cs="Times New Roman"/>
                <w:b/>
                <w:bCs/>
              </w:rPr>
              <w:t>Luật nghĩa vụ quân sự và trách nhiệm của học sinh</w:t>
            </w:r>
          </w:p>
          <w:p w:rsidR="00D836BC" w:rsidRDefault="00D836BC">
            <w:pPr>
              <w:rPr>
                <w:rFonts w:ascii="Times New Roman" w:hAnsi="Times New Roman" w:cs="Times New Roman"/>
                <w:b/>
                <w:bCs/>
              </w:rPr>
            </w:pPr>
          </w:p>
        </w:tc>
      </w:tr>
      <w:tr w:rsidR="00D836BC" w:rsidTr="009C2802">
        <w:tc>
          <w:tcPr>
            <w:tcW w:w="2547" w:type="dxa"/>
          </w:tcPr>
          <w:p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Đọctài liệu</w:t>
            </w:r>
            <w:r w:rsidR="000F3F6E">
              <w:rPr>
                <w:rFonts w:ascii="Times New Roman" w:hAnsi="Times New Roman" w:cs="Times New Roman"/>
                <w:b/>
                <w:bCs/>
                <w:i/>
              </w:rPr>
              <w:t xml:space="preserve"> và thực hiện các yêu cầu.</w:t>
            </w:r>
          </w:p>
          <w:p w:rsidR="008A7E17" w:rsidRDefault="008A7E17" w:rsidP="00226E00">
            <w:pPr>
              <w:rPr>
                <w:rFonts w:ascii="Times New Roman" w:hAnsi="Times New Roman" w:cs="Times New Roman"/>
                <w:b/>
                <w:bCs/>
              </w:rPr>
            </w:pPr>
          </w:p>
        </w:tc>
        <w:tc>
          <w:tcPr>
            <w:tcW w:w="6803" w:type="dxa"/>
          </w:tcPr>
          <w:p w:rsidR="00BC1950" w:rsidRDefault="00BC1950" w:rsidP="00BC1950">
            <w:pPr>
              <w:pStyle w:val="ListParagraph"/>
              <w:tabs>
                <w:tab w:val="left" w:pos="153"/>
              </w:tabs>
              <w:ind w:left="0"/>
              <w:jc w:val="both"/>
              <w:rPr>
                <w:rFonts w:ascii="Times New Roman" w:hAnsi="Times New Roman" w:cs="Times New Roman"/>
                <w:bCs/>
              </w:rPr>
            </w:pPr>
            <w:r>
              <w:rPr>
                <w:rFonts w:ascii="Times New Roman" w:hAnsi="Times New Roman" w:cs="Times New Roman"/>
                <w:bCs/>
              </w:rPr>
              <w:t>1.</w:t>
            </w:r>
            <w:r w:rsidR="00D34379">
              <w:rPr>
                <w:rFonts w:ascii="Times New Roman" w:hAnsi="Times New Roman" w:cs="Times New Roman"/>
                <w:bCs/>
              </w:rPr>
              <w:t xml:space="preserve">Tài liệu: </w:t>
            </w:r>
          </w:p>
          <w:p w:rsidR="0072270E" w:rsidRDefault="00BC1950" w:rsidP="00BC1950">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 </w:t>
            </w:r>
            <w:r w:rsidR="00D34379">
              <w:rPr>
                <w:rFonts w:ascii="Times New Roman" w:hAnsi="Times New Roman" w:cs="Times New Roman"/>
                <w:bCs/>
              </w:rPr>
              <w:t>SGK QP và AN khối 1</w:t>
            </w:r>
            <w:r w:rsidR="00A67A7B">
              <w:rPr>
                <w:rFonts w:ascii="Times New Roman" w:hAnsi="Times New Roman" w:cs="Times New Roman"/>
                <w:bCs/>
              </w:rPr>
              <w:t xml:space="preserve">1: Bài </w:t>
            </w:r>
            <w:r w:rsidR="00E77888">
              <w:rPr>
                <w:rFonts w:ascii="Times New Roman" w:hAnsi="Times New Roman" w:cs="Times New Roman"/>
                <w:bCs/>
              </w:rPr>
              <w:t>2</w:t>
            </w:r>
            <w:r w:rsidR="00A67A7B">
              <w:rPr>
                <w:rFonts w:ascii="Times New Roman" w:hAnsi="Times New Roman" w:cs="Times New Roman"/>
                <w:bCs/>
              </w:rPr>
              <w:t xml:space="preserve">: </w:t>
            </w:r>
            <w:r w:rsidR="00E77888">
              <w:rPr>
                <w:rFonts w:ascii="Times New Roman" w:hAnsi="Times New Roman" w:cs="Times New Roman"/>
                <w:bCs/>
              </w:rPr>
              <w:t xml:space="preserve">Luật nghĩa vụ quân sự và trách nhiệm của học sinh </w:t>
            </w:r>
          </w:p>
          <w:p w:rsidR="00BC1950" w:rsidRDefault="00BC1950" w:rsidP="00BC1950">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 Luật nghĩa vụ quân sự 2015: </w:t>
            </w:r>
            <w:hyperlink r:id="rId5" w:history="1">
              <w:r w:rsidRPr="00C029A1">
                <w:rPr>
                  <w:rStyle w:val="Hyperlink"/>
                  <w:rFonts w:ascii="Times New Roman" w:hAnsi="Times New Roman" w:cs="Times New Roman"/>
                  <w:bCs/>
                </w:rPr>
                <w:t>https://thuvienphapluat.vn/van-ban/Linh-vuc-khac/Luat-nghia-vu-quan-su-2015-282383.aspx</w:t>
              </w:r>
            </w:hyperlink>
          </w:p>
          <w:p w:rsidR="00BC1950" w:rsidRDefault="00BC1950" w:rsidP="00BC1950">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2. Yêu cầu: </w:t>
            </w:r>
          </w:p>
          <w:p w:rsidR="00BC1950" w:rsidRDefault="00BC1950" w:rsidP="00BC1950">
            <w:pPr>
              <w:pStyle w:val="ListParagraph"/>
              <w:tabs>
                <w:tab w:val="left" w:pos="153"/>
              </w:tabs>
              <w:ind w:left="0"/>
              <w:jc w:val="both"/>
              <w:rPr>
                <w:rFonts w:ascii="Times New Roman" w:hAnsi="Times New Roman" w:cs="Times New Roman"/>
                <w:bCs/>
              </w:rPr>
            </w:pPr>
            <w:r>
              <w:rPr>
                <w:rFonts w:ascii="Times New Roman" w:hAnsi="Times New Roman" w:cs="Times New Roman"/>
                <w:bCs/>
              </w:rPr>
              <w:t>- Học sinh đọc sách giáo khoa, lấy sách giáo khoa làm cơ sở.</w:t>
            </w:r>
          </w:p>
          <w:p w:rsidR="00BC1950" w:rsidRDefault="00BC1950" w:rsidP="00BC1950">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 Tự </w:t>
            </w:r>
            <w:r w:rsidR="00723957">
              <w:rPr>
                <w:rFonts w:ascii="Times New Roman" w:hAnsi="Times New Roman" w:cs="Times New Roman"/>
                <w:bCs/>
              </w:rPr>
              <w:t>đọc nội dung luật nghĩa vụ quân sự.</w:t>
            </w:r>
          </w:p>
          <w:p w:rsidR="00723957" w:rsidRDefault="00723957" w:rsidP="00BC1950">
            <w:pPr>
              <w:pStyle w:val="ListParagraph"/>
              <w:tabs>
                <w:tab w:val="left" w:pos="153"/>
              </w:tabs>
              <w:ind w:left="0"/>
              <w:jc w:val="both"/>
              <w:rPr>
                <w:rFonts w:ascii="Times New Roman" w:hAnsi="Times New Roman" w:cs="Times New Roman"/>
                <w:bCs/>
              </w:rPr>
            </w:pPr>
            <w:r>
              <w:rPr>
                <w:rFonts w:ascii="Times New Roman" w:hAnsi="Times New Roman" w:cs="Times New Roman"/>
                <w:bCs/>
              </w:rPr>
              <w:t>- Ghi chú các nội dung luật nghĩa vụ quân sự 2015 đã sửa đổi so với luật nghĩa vụ quân sự năm 2005 (nội dung trách sgk).</w:t>
            </w:r>
          </w:p>
          <w:p w:rsidR="00723957" w:rsidRDefault="00723957" w:rsidP="00BC1950">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 Phân biệt 2 khái niệm: Tạm hoãn NVQS và Miễn NVQS. </w:t>
            </w:r>
          </w:p>
          <w:p w:rsidR="007B2D50" w:rsidRPr="00BC1950" w:rsidRDefault="007B2D50" w:rsidP="00BC1950">
            <w:pPr>
              <w:tabs>
                <w:tab w:val="left" w:pos="153"/>
              </w:tabs>
              <w:jc w:val="both"/>
              <w:rPr>
                <w:rFonts w:ascii="Times New Roman" w:hAnsi="Times New Roman" w:cs="Times New Roman"/>
                <w:bCs/>
              </w:rPr>
            </w:pPr>
          </w:p>
        </w:tc>
      </w:tr>
      <w:tr w:rsidR="00D0704B" w:rsidTr="003713A7">
        <w:trPr>
          <w:trHeight w:val="1160"/>
        </w:trPr>
        <w:tc>
          <w:tcPr>
            <w:tcW w:w="2547" w:type="dxa"/>
          </w:tcPr>
          <w:p w:rsidR="00D0704B" w:rsidRDefault="008D0403">
            <w:pPr>
              <w:rPr>
                <w:rFonts w:ascii="Times New Roman" w:hAnsi="Times New Roman" w:cs="Times New Roman"/>
                <w:b/>
                <w:bCs/>
              </w:rPr>
            </w:pPr>
            <w:r>
              <w:rPr>
                <w:rFonts w:ascii="Times New Roman" w:hAnsi="Times New Roman" w:cs="Times New Roman"/>
                <w:b/>
                <w:bCs/>
              </w:rPr>
              <w:t>Hoạt động 2</w:t>
            </w:r>
            <w:r w:rsidRPr="008D0403">
              <w:rPr>
                <w:rFonts w:ascii="Times New Roman" w:hAnsi="Times New Roman" w:cs="Times New Roman"/>
                <w:bCs/>
              </w:rPr>
              <w:t>:</w:t>
            </w:r>
            <w:r w:rsidRPr="008D0403">
              <w:rPr>
                <w:rFonts w:ascii="Times New Roman" w:hAnsi="Times New Roman" w:cs="Times New Roman"/>
                <w:b/>
                <w:bCs/>
                <w:i/>
              </w:rPr>
              <w:t>Kiểm tra, đánh giá quá trình tự học.</w:t>
            </w:r>
          </w:p>
        </w:tc>
        <w:tc>
          <w:tcPr>
            <w:tcW w:w="6803" w:type="dxa"/>
          </w:tcPr>
          <w:p w:rsidR="002E2998" w:rsidRPr="002E2998" w:rsidRDefault="00723957" w:rsidP="002E2998">
            <w:pPr>
              <w:pStyle w:val="ListParagraph"/>
              <w:tabs>
                <w:tab w:val="left" w:pos="253"/>
              </w:tabs>
              <w:ind w:left="63"/>
              <w:jc w:val="both"/>
              <w:rPr>
                <w:rFonts w:ascii="Times New Roman" w:hAnsi="Times New Roman" w:cs="Times New Roman"/>
              </w:rPr>
            </w:pPr>
            <w:r>
              <w:rPr>
                <w:rFonts w:ascii="Times New Roman" w:hAnsi="Times New Roman" w:cs="Times New Roman"/>
                <w:bCs/>
              </w:rPr>
              <w:t xml:space="preserve">- Lập bảng so sánh luật NVQS năm 2005 và 2015 (Phụ lục 2) </w:t>
            </w:r>
          </w:p>
          <w:p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Gửi về </w:t>
            </w:r>
            <w:r w:rsidR="009F4174">
              <w:rPr>
                <w:rFonts w:ascii="Times New Roman" w:hAnsi="Times New Roman" w:cs="Times New Roman"/>
                <w:bCs/>
              </w:rPr>
              <w:t xml:space="preserve">Classroom do giáo viên bộ môn cung cấp. </w:t>
            </w:r>
          </w:p>
          <w:p w:rsidR="003713A7" w:rsidRPr="00AB7B12" w:rsidRDefault="003713A7" w:rsidP="009F4174">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Lưu ý:</w:t>
            </w:r>
            <w:r>
              <w:rPr>
                <w:rFonts w:ascii="Times New Roman" w:hAnsi="Times New Roman" w:cs="Times New Roman"/>
              </w:rPr>
              <w:t xml:space="preserve"> khi </w:t>
            </w:r>
            <w:r w:rsidR="009F4174">
              <w:rPr>
                <w:rFonts w:ascii="Times New Roman" w:hAnsi="Times New Roman" w:cs="Times New Roman"/>
              </w:rPr>
              <w:t>nộp bài</w:t>
            </w:r>
            <w:r>
              <w:rPr>
                <w:rFonts w:ascii="Times New Roman" w:hAnsi="Times New Roman" w:cs="Times New Roman"/>
              </w:rPr>
              <w:t xml:space="preserve">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Pr="003713A7">
              <w:rPr>
                <w:rFonts w:ascii="Times New Roman" w:hAnsi="Times New Roman" w:cs="Times New Roman"/>
                <w:b/>
                <w:bCs/>
              </w:rPr>
              <w:t xml:space="preserve"> - </w:t>
            </w:r>
            <w:r w:rsidR="009F4174">
              <w:rPr>
                <w:rFonts w:ascii="Times New Roman" w:hAnsi="Times New Roman" w:cs="Times New Roman"/>
                <w:b/>
                <w:bCs/>
              </w:rPr>
              <w:t>STT”</w:t>
            </w:r>
          </w:p>
        </w:tc>
      </w:tr>
    </w:tbl>
    <w:p w:rsidR="00E72044" w:rsidRDefault="00E72044" w:rsidP="004E1B91">
      <w:pPr>
        <w:rPr>
          <w:rFonts w:ascii="Times New Roman" w:hAnsi="Times New Roman" w:cs="Times New Roman"/>
          <w:lang w:val="vi-VN"/>
        </w:rPr>
      </w:pPr>
    </w:p>
    <w:p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rsidR="001D5634" w:rsidRPr="00D47CD8" w:rsidRDefault="001D5634" w:rsidP="001D5634">
      <w:pPr>
        <w:pStyle w:val="ListParagraph"/>
        <w:ind w:left="426"/>
        <w:jc w:val="both"/>
        <w:rPr>
          <w:rFonts w:ascii="Times New Roman" w:hAnsi="Times New Roman" w:cs="Times New Roman"/>
          <w:b/>
          <w:bCs/>
          <w:lang w:val="vi-VN"/>
        </w:rPr>
      </w:pPr>
    </w:p>
    <w:p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rsidR="004A7F8F" w:rsidRDefault="004A7F8F" w:rsidP="004E1B91">
      <w:pPr>
        <w:rPr>
          <w:rFonts w:ascii="Times New Roman" w:hAnsi="Times New Roman" w:cs="Times New Roman"/>
          <w:lang w:val="vi-VN"/>
        </w:rPr>
      </w:pPr>
    </w:p>
    <w:tbl>
      <w:tblPr>
        <w:tblStyle w:val="TableGrid"/>
        <w:tblW w:w="0" w:type="auto"/>
        <w:tblLook w:val="04A0"/>
      </w:tblPr>
      <w:tblGrid>
        <w:gridCol w:w="1132"/>
        <w:gridCol w:w="4003"/>
        <w:gridCol w:w="4215"/>
      </w:tblGrid>
      <w:tr w:rsidR="00467D75" w:rsidTr="00467D75">
        <w:tc>
          <w:tcPr>
            <w:tcW w:w="1132"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rsidTr="00467D75">
        <w:tc>
          <w:tcPr>
            <w:tcW w:w="1132" w:type="dxa"/>
          </w:tcPr>
          <w:p w:rsidR="00467D75" w:rsidRPr="00D3033F" w:rsidRDefault="00D3033F" w:rsidP="004E1B91">
            <w:pPr>
              <w:rPr>
                <w:rFonts w:ascii="Times New Roman" w:hAnsi="Times New Roman" w:cs="Times New Roman"/>
              </w:rPr>
            </w:pPr>
            <w:r>
              <w:rPr>
                <w:rFonts w:ascii="Times New Roman" w:hAnsi="Times New Roman" w:cs="Times New Roman"/>
              </w:rPr>
              <w:t>Quốc Phòng</w:t>
            </w:r>
          </w:p>
        </w:tc>
        <w:tc>
          <w:tcPr>
            <w:tcW w:w="4003" w:type="dxa"/>
          </w:tcPr>
          <w:p w:rsidR="00467D75" w:rsidRDefault="00262188" w:rsidP="004E1B91">
            <w:pPr>
              <w:rPr>
                <w:rFonts w:ascii="Times New Roman" w:hAnsi="Times New Roman" w:cs="Times New Roman"/>
              </w:rPr>
            </w:pPr>
            <w:r>
              <w:rPr>
                <w:rFonts w:ascii="Times New Roman" w:hAnsi="Times New Roman" w:cs="Times New Roman"/>
              </w:rPr>
              <w:t>Mục A: ….</w:t>
            </w:r>
          </w:p>
          <w:p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rsidR="00467D75" w:rsidRDefault="00467D75" w:rsidP="004E1B91">
            <w:pPr>
              <w:rPr>
                <w:rFonts w:ascii="Times New Roman" w:hAnsi="Times New Roman" w:cs="Times New Roman"/>
                <w:lang w:val="vi-VN"/>
              </w:rPr>
            </w:pPr>
            <w:r>
              <w:rPr>
                <w:rFonts w:ascii="Times New Roman" w:hAnsi="Times New Roman" w:cs="Times New Roman"/>
                <w:lang w:val="vi-VN"/>
              </w:rPr>
              <w:t>1.</w:t>
            </w:r>
          </w:p>
          <w:p w:rsidR="00467D75" w:rsidRDefault="00467D75" w:rsidP="004E1B91">
            <w:pPr>
              <w:rPr>
                <w:rFonts w:ascii="Times New Roman" w:hAnsi="Times New Roman" w:cs="Times New Roman"/>
                <w:lang w:val="vi-VN"/>
              </w:rPr>
            </w:pPr>
            <w:r>
              <w:rPr>
                <w:rFonts w:ascii="Times New Roman" w:hAnsi="Times New Roman" w:cs="Times New Roman"/>
                <w:lang w:val="vi-VN"/>
              </w:rPr>
              <w:t>2.</w:t>
            </w:r>
          </w:p>
          <w:p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t>Mộtsố lưu ý</w:t>
      </w:r>
    </w:p>
    <w:p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lastRenderedPageBreak/>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rsidR="00D94757" w:rsidRDefault="00D94757" w:rsidP="00CC6B90">
      <w:pPr>
        <w:pStyle w:val="ListParagraph"/>
        <w:tabs>
          <w:tab w:val="left" w:pos="567"/>
        </w:tabs>
        <w:spacing w:line="276" w:lineRule="auto"/>
        <w:ind w:left="0" w:firstLine="360"/>
        <w:jc w:val="both"/>
        <w:rPr>
          <w:rFonts w:ascii="Times New Roman" w:hAnsi="Times New Roman" w:cs="Times New Roma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p w:rsidR="00BC1950" w:rsidRDefault="00BC1950">
      <w:pPr>
        <w:rPr>
          <w:rFonts w:ascii="Times New Roman" w:hAnsi="Times New Roman" w:cs="Times New Roman"/>
        </w:rPr>
      </w:pPr>
      <w:r>
        <w:rPr>
          <w:rFonts w:ascii="Times New Roman" w:hAnsi="Times New Roman" w:cs="Times New Roman"/>
        </w:rPr>
        <w:br w:type="page"/>
      </w:r>
    </w:p>
    <w:p w:rsidR="00BC1950" w:rsidRPr="00BC1950" w:rsidRDefault="00BC1950" w:rsidP="00BC1950">
      <w:pPr>
        <w:pStyle w:val="ListParagraph"/>
        <w:tabs>
          <w:tab w:val="left" w:pos="567"/>
        </w:tabs>
        <w:spacing w:line="276" w:lineRule="auto"/>
        <w:ind w:left="0" w:firstLine="360"/>
        <w:jc w:val="center"/>
        <w:rPr>
          <w:rFonts w:ascii="Times New Roman" w:hAnsi="Times New Roman" w:cs="Times New Roman"/>
          <w:b/>
          <w:sz w:val="32"/>
          <w:szCs w:val="32"/>
        </w:rPr>
      </w:pPr>
      <w:r w:rsidRPr="00BC1950">
        <w:rPr>
          <w:rFonts w:ascii="Times New Roman" w:hAnsi="Times New Roman" w:cs="Times New Roman"/>
          <w:b/>
          <w:sz w:val="32"/>
          <w:szCs w:val="32"/>
        </w:rPr>
        <w:lastRenderedPageBreak/>
        <w:t>Phụ lục 1: Tóm tắt nội dung cơ bản</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b/>
          <w:bCs/>
          <w:sz w:val="26"/>
          <w:szCs w:val="26"/>
        </w:rPr>
        <w:t>II. Nhữn</w:t>
      </w:r>
      <w:r>
        <w:rPr>
          <w:rFonts w:ascii="Times New Roman" w:hAnsi="Times New Roman"/>
          <w:b/>
          <w:bCs/>
          <w:sz w:val="26"/>
          <w:szCs w:val="26"/>
        </w:rPr>
        <w:t>g</w:t>
      </w:r>
      <w:r w:rsidRPr="002E76A9">
        <w:rPr>
          <w:rFonts w:ascii="Times New Roman" w:hAnsi="Times New Roman"/>
          <w:b/>
          <w:bCs/>
          <w:sz w:val="26"/>
          <w:szCs w:val="26"/>
        </w:rPr>
        <w:t xml:space="preserve"> nội dung cơ bản của Luật NVQS</w:t>
      </w:r>
      <w:r w:rsidRPr="002E76A9">
        <w:rPr>
          <w:rFonts w:ascii="Times New Roman" w:hAnsi="Times New Roman"/>
          <w:sz w:val="26"/>
          <w:szCs w:val="26"/>
        </w:rPr>
        <w:t>:</w:t>
      </w:r>
    </w:p>
    <w:p w:rsidR="00BC1950" w:rsidRPr="002E76A9" w:rsidRDefault="00BC1950" w:rsidP="00BC1950">
      <w:pPr>
        <w:tabs>
          <w:tab w:val="left" w:pos="1320"/>
        </w:tabs>
        <w:spacing w:line="276" w:lineRule="auto"/>
        <w:rPr>
          <w:rFonts w:ascii="Times New Roman" w:hAnsi="Times New Roman"/>
          <w:b/>
          <w:bCs/>
          <w:sz w:val="26"/>
          <w:szCs w:val="26"/>
        </w:rPr>
      </w:pPr>
      <w:r w:rsidRPr="002E76A9">
        <w:rPr>
          <w:rFonts w:ascii="Times New Roman" w:hAnsi="Times New Roman"/>
          <w:b/>
          <w:bCs/>
          <w:sz w:val="26"/>
          <w:szCs w:val="26"/>
        </w:rPr>
        <w:t>1. Giới thiệu khái quát về Luật NVQS:</w:t>
      </w:r>
    </w:p>
    <w:p w:rsidR="00BC1950" w:rsidRPr="002E76A9" w:rsidRDefault="00BC1950" w:rsidP="00BC1950">
      <w:pPr>
        <w:spacing w:line="276" w:lineRule="auto"/>
        <w:rPr>
          <w:rFonts w:ascii="Times New Roman" w:hAnsi="Times New Roman"/>
          <w:b/>
          <w:sz w:val="26"/>
          <w:szCs w:val="26"/>
        </w:rPr>
      </w:pPr>
      <w:r w:rsidRPr="002E76A9">
        <w:rPr>
          <w:rFonts w:ascii="Times New Roman" w:hAnsi="Times New Roman"/>
          <w:b/>
          <w:sz w:val="26"/>
          <w:szCs w:val="26"/>
        </w:rPr>
        <w:t>2. Nội dung cơ bản của Luật NVQS năm 20</w:t>
      </w:r>
      <w:r>
        <w:rPr>
          <w:rFonts w:ascii="Times New Roman" w:hAnsi="Times New Roman"/>
          <w:b/>
          <w:sz w:val="26"/>
          <w:szCs w:val="26"/>
        </w:rPr>
        <w:t>1</w:t>
      </w:r>
      <w:r w:rsidRPr="002E76A9">
        <w:rPr>
          <w:rFonts w:ascii="Times New Roman" w:hAnsi="Times New Roman"/>
          <w:b/>
          <w:sz w:val="26"/>
          <w:szCs w:val="26"/>
        </w:rPr>
        <w:t>5:</w:t>
      </w:r>
    </w:p>
    <w:p w:rsidR="00BC1950" w:rsidRPr="002E76A9" w:rsidRDefault="00BC1950" w:rsidP="00BC1950">
      <w:pPr>
        <w:spacing w:line="276" w:lineRule="auto"/>
        <w:rPr>
          <w:rFonts w:ascii="Times New Roman" w:hAnsi="Times New Roman"/>
          <w:b/>
          <w:sz w:val="26"/>
          <w:szCs w:val="26"/>
        </w:rPr>
      </w:pPr>
      <w:r w:rsidRPr="002E76A9">
        <w:rPr>
          <w:rFonts w:ascii="Times New Roman" w:hAnsi="Times New Roman"/>
          <w:b/>
          <w:sz w:val="26"/>
          <w:szCs w:val="26"/>
        </w:rPr>
        <w:t>a. Những quy định chung:</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NVQS là nghĩa vụ vẻ vang của công dân phục vụ trong Quân đội nhân dân Việt Nam.</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xml:space="preserve">- Làm NVQS bao gồm phục vụ tại ngũ và phục vụ trong ngạch dự bị. </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Công dân thực hiện NVQS từ đủ 18 tuổi đến hết 45 tuổi.</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Phục vụ tại ngũ gọi là quân nhân tại ngũ (từ đủ 18 tuổi đến hết 25 tuổi).</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Phục vụ nghạch dự bị gọi là quân nhân dự bị (từ đủ 18 tuổi đến hết 45 tuổi).</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Nghĩa vụ của quân nhân:</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Tuyệt đối trung thành với Tổ quốc, nhân dân và Nhà nước, nêu cao tinh thần cách mạng, sẳn sàng chiến đấu hi sinh bảo vệ Tổ quốc và hoàn thành mọi nhiệm vụ được giao.</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Tôn trọng quyền làm chủ tập thể của nhân dân, bảo vệ tài sản XHCN, bảo vệ tài sản, tính mạng của nhân dân.</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xml:space="preserve">+ Gương mẫu chấp hành các đường lối, chính sách của Đảng, pháp luật của Nhà nước, điều lệnh, điều lệ của Quân đội. </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xml:space="preserve">+ Ra sức học tập, rèn luyện bản thân, nâng cao bản lĩnh chiến đấu. </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b/>
          <w:bCs/>
          <w:sz w:val="26"/>
          <w:szCs w:val="26"/>
        </w:rPr>
        <w:t>b. Chuẩn bị cho thanh niên phục vụ tại ngũ</w:t>
      </w:r>
      <w:r w:rsidRPr="002E76A9">
        <w:rPr>
          <w:rFonts w:ascii="Times New Roman" w:hAnsi="Times New Roman"/>
          <w:sz w:val="26"/>
          <w:szCs w:val="26"/>
        </w:rPr>
        <w:t>:</w:t>
      </w:r>
    </w:p>
    <w:p w:rsidR="00BC1950" w:rsidRPr="002E76A9" w:rsidRDefault="00BC1950" w:rsidP="00BC1950">
      <w:pPr>
        <w:spacing w:line="276" w:lineRule="auto"/>
        <w:rPr>
          <w:rFonts w:ascii="Times New Roman" w:hAnsi="Times New Roman"/>
          <w:sz w:val="26"/>
          <w:szCs w:val="26"/>
        </w:rPr>
      </w:pPr>
      <w:r w:rsidRPr="002E76A9">
        <w:rPr>
          <w:rFonts w:ascii="Times New Roman" w:hAnsi="Times New Roman"/>
          <w:sz w:val="26"/>
          <w:szCs w:val="26"/>
        </w:rPr>
        <w:t>- Làm tốt công tác giáo dục chính trị, tư tưởng.</w:t>
      </w:r>
    </w:p>
    <w:p w:rsidR="00BC1950" w:rsidRPr="002E76A9" w:rsidRDefault="00BC1950" w:rsidP="00BC1950">
      <w:pPr>
        <w:spacing w:line="276" w:lineRule="auto"/>
        <w:rPr>
          <w:rFonts w:ascii="Times New Roman" w:hAnsi="Times New Roman"/>
          <w:sz w:val="26"/>
          <w:szCs w:val="26"/>
        </w:rPr>
      </w:pPr>
      <w:r w:rsidRPr="002E76A9">
        <w:rPr>
          <w:rFonts w:ascii="Times New Roman" w:hAnsi="Times New Roman"/>
          <w:sz w:val="26"/>
          <w:szCs w:val="26"/>
        </w:rPr>
        <w:t>- Huấn luyện quân sự phổ thông tại các trường THPT (GDQP: 10, 11, 12).</w:t>
      </w:r>
    </w:p>
    <w:p w:rsidR="00BC1950" w:rsidRPr="002E76A9" w:rsidRDefault="00BC1950" w:rsidP="00BC1950">
      <w:pPr>
        <w:tabs>
          <w:tab w:val="left" w:pos="1320"/>
        </w:tabs>
        <w:spacing w:line="276" w:lineRule="auto"/>
        <w:rPr>
          <w:rFonts w:ascii="Times New Roman" w:hAnsi="Times New Roman"/>
          <w:sz w:val="26"/>
          <w:szCs w:val="26"/>
        </w:rPr>
      </w:pPr>
      <w:r w:rsidRPr="002E76A9">
        <w:rPr>
          <w:rFonts w:ascii="Times New Roman" w:hAnsi="Times New Roman"/>
          <w:sz w:val="26"/>
          <w:szCs w:val="26"/>
        </w:rPr>
        <w:t>- Đào tạo cán bộ, nhân viên chuyên môn kĩ thuật cho quân đội.</w:t>
      </w:r>
    </w:p>
    <w:p w:rsidR="00BC1950" w:rsidRDefault="00BC1950" w:rsidP="00BC1950">
      <w:pPr>
        <w:rPr>
          <w:rFonts w:ascii="Times New Roman" w:hAnsi="Times New Roman" w:cs="Times New Roman"/>
        </w:rPr>
      </w:pPr>
      <w:r w:rsidRPr="002E76A9">
        <w:rPr>
          <w:rFonts w:ascii="Times New Roman" w:hAnsi="Times New Roman"/>
          <w:sz w:val="26"/>
          <w:szCs w:val="26"/>
        </w:rPr>
        <w:t>- Đăng ký NVQS và kiểm tra sức khoẻ đối với công dân nam đủ 17 tuổi.</w:t>
      </w:r>
      <w:r>
        <w:rPr>
          <w:rFonts w:ascii="Times New Roman" w:hAnsi="Times New Roman" w:cs="Times New Roman"/>
        </w:rPr>
        <w:br w:type="page"/>
      </w:r>
    </w:p>
    <w:p w:rsidR="00723957" w:rsidRDefault="00BC1950" w:rsidP="00723957">
      <w:pPr>
        <w:pStyle w:val="ListParagraph"/>
        <w:tabs>
          <w:tab w:val="left" w:pos="567"/>
        </w:tabs>
        <w:spacing w:line="276" w:lineRule="auto"/>
        <w:ind w:left="0"/>
        <w:jc w:val="center"/>
        <w:rPr>
          <w:rFonts w:ascii="Times New Roman" w:hAnsi="Times New Roman" w:cs="Times New Roman"/>
          <w:b/>
          <w:sz w:val="32"/>
          <w:szCs w:val="32"/>
        </w:rPr>
      </w:pPr>
      <w:r w:rsidRPr="00723957">
        <w:rPr>
          <w:rFonts w:ascii="Times New Roman" w:hAnsi="Times New Roman" w:cs="Times New Roman"/>
          <w:b/>
          <w:sz w:val="32"/>
          <w:szCs w:val="32"/>
        </w:rPr>
        <w:lastRenderedPageBreak/>
        <w:t xml:space="preserve">Phụ lục 2: </w:t>
      </w:r>
      <w:r w:rsidR="00723957" w:rsidRPr="00723957">
        <w:rPr>
          <w:rFonts w:ascii="Times New Roman" w:hAnsi="Times New Roman" w:cs="Times New Roman"/>
          <w:b/>
          <w:sz w:val="32"/>
          <w:szCs w:val="32"/>
        </w:rPr>
        <w:t xml:space="preserve">So sánh luật NVQS 2005 và 2015. </w:t>
      </w:r>
    </w:p>
    <w:p w:rsidR="00723957" w:rsidRPr="00723957" w:rsidRDefault="00723957" w:rsidP="00723957">
      <w:pPr>
        <w:pStyle w:val="ListParagraph"/>
        <w:tabs>
          <w:tab w:val="left" w:pos="567"/>
        </w:tabs>
        <w:spacing w:line="276" w:lineRule="auto"/>
        <w:ind w:left="0"/>
        <w:jc w:val="center"/>
        <w:rPr>
          <w:rFonts w:ascii="Times New Roman" w:hAnsi="Times New Roman" w:cs="Times New Roman"/>
          <w:b/>
          <w:sz w:val="32"/>
          <w:szCs w:val="32"/>
        </w:rPr>
      </w:pPr>
      <w:bookmarkStart w:id="0" w:name="_GoBack"/>
      <w:bookmarkEnd w:id="0"/>
      <w:r w:rsidRPr="00723957">
        <w:rPr>
          <w:rFonts w:ascii="Times New Roman" w:hAnsi="Times New Roman" w:cs="Times New Roman"/>
          <w:b/>
          <w:sz w:val="32"/>
          <w:szCs w:val="32"/>
        </w:rPr>
        <w:t>(Bôi đỏ các nội dung có thay đổi)</w:t>
      </w:r>
    </w:p>
    <w:tbl>
      <w:tblPr>
        <w:tblStyle w:val="TableGrid"/>
        <w:tblW w:w="0" w:type="auto"/>
        <w:tblLook w:val="04A0"/>
      </w:tblPr>
      <w:tblGrid>
        <w:gridCol w:w="3116"/>
        <w:gridCol w:w="3117"/>
        <w:gridCol w:w="3117"/>
      </w:tblGrid>
      <w:tr w:rsidR="00723957" w:rsidTr="00723957">
        <w:tc>
          <w:tcPr>
            <w:tcW w:w="3116" w:type="dxa"/>
          </w:tcPr>
          <w:p w:rsidR="00723957" w:rsidRPr="00723957" w:rsidRDefault="00723957" w:rsidP="00723957">
            <w:pPr>
              <w:pStyle w:val="ListParagraph"/>
              <w:tabs>
                <w:tab w:val="left" w:pos="567"/>
              </w:tabs>
              <w:spacing w:line="276" w:lineRule="auto"/>
              <w:ind w:left="0"/>
              <w:jc w:val="center"/>
              <w:rPr>
                <w:rFonts w:ascii="Times New Roman" w:hAnsi="Times New Roman" w:cs="Times New Roman"/>
                <w:b/>
              </w:rPr>
            </w:pPr>
          </w:p>
        </w:tc>
        <w:tc>
          <w:tcPr>
            <w:tcW w:w="3117" w:type="dxa"/>
          </w:tcPr>
          <w:p w:rsidR="00723957" w:rsidRPr="00723957" w:rsidRDefault="00723957" w:rsidP="00723957">
            <w:pPr>
              <w:pStyle w:val="ListParagraph"/>
              <w:tabs>
                <w:tab w:val="left" w:pos="567"/>
              </w:tabs>
              <w:spacing w:line="276" w:lineRule="auto"/>
              <w:ind w:left="0"/>
              <w:jc w:val="center"/>
              <w:rPr>
                <w:rFonts w:ascii="Times New Roman" w:hAnsi="Times New Roman" w:cs="Times New Roman"/>
                <w:b/>
              </w:rPr>
            </w:pPr>
            <w:r w:rsidRPr="00723957">
              <w:rPr>
                <w:rFonts w:ascii="Times New Roman" w:hAnsi="Times New Roman" w:cs="Times New Roman"/>
                <w:b/>
              </w:rPr>
              <w:t>Luật NVQS 2005</w:t>
            </w:r>
          </w:p>
        </w:tc>
        <w:tc>
          <w:tcPr>
            <w:tcW w:w="3117" w:type="dxa"/>
          </w:tcPr>
          <w:p w:rsidR="00723957" w:rsidRPr="00723957" w:rsidRDefault="00723957" w:rsidP="00723957">
            <w:pPr>
              <w:pStyle w:val="ListParagraph"/>
              <w:tabs>
                <w:tab w:val="left" w:pos="567"/>
              </w:tabs>
              <w:spacing w:line="276" w:lineRule="auto"/>
              <w:ind w:left="0"/>
              <w:jc w:val="center"/>
              <w:rPr>
                <w:rFonts w:ascii="Times New Roman" w:hAnsi="Times New Roman" w:cs="Times New Roman"/>
                <w:b/>
              </w:rPr>
            </w:pPr>
            <w:r w:rsidRPr="00723957">
              <w:rPr>
                <w:rFonts w:ascii="Times New Roman" w:hAnsi="Times New Roman" w:cs="Times New Roman"/>
                <w:b/>
              </w:rPr>
              <w:t>Luật NVQS 2015</w:t>
            </w:r>
          </w:p>
        </w:tc>
      </w:tr>
      <w:tr w:rsidR="00723957" w:rsidTr="00723957">
        <w:tc>
          <w:tcPr>
            <w:tcW w:w="3116"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r>
              <w:rPr>
                <w:rFonts w:ascii="Times New Roman" w:hAnsi="Times New Roman" w:cs="Times New Roman"/>
              </w:rPr>
              <w:t>Quy định chung</w:t>
            </w: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r>
      <w:tr w:rsidR="00723957" w:rsidTr="00723957">
        <w:tc>
          <w:tcPr>
            <w:tcW w:w="3116"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r>
              <w:rPr>
                <w:rFonts w:ascii="Times New Roman" w:hAnsi="Times New Roman" w:cs="Times New Roman"/>
              </w:rPr>
              <w:t>Chuẩn bị cho thanh niên nhập ngũ</w:t>
            </w: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r>
      <w:tr w:rsidR="00723957" w:rsidTr="00723957">
        <w:tc>
          <w:tcPr>
            <w:tcW w:w="3116"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r>
              <w:rPr>
                <w:rFonts w:ascii="Times New Roman" w:hAnsi="Times New Roman" w:cs="Times New Roman"/>
              </w:rPr>
              <w:t>Phục vụ tại ngũ trong thời bình</w:t>
            </w: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r>
      <w:tr w:rsidR="00723957" w:rsidTr="00723957">
        <w:tc>
          <w:tcPr>
            <w:tcW w:w="3116"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r>
              <w:rPr>
                <w:rFonts w:ascii="Times New Roman" w:hAnsi="Times New Roman" w:cs="Times New Roman"/>
              </w:rPr>
              <w:t>Đối tượng được tạm hoãn NVQS</w:t>
            </w: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r>
      <w:tr w:rsidR="00723957" w:rsidTr="00723957">
        <w:tc>
          <w:tcPr>
            <w:tcW w:w="3116"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r>
              <w:rPr>
                <w:rFonts w:ascii="Times New Roman" w:hAnsi="Times New Roman" w:cs="Times New Roman"/>
              </w:rPr>
              <w:t>Đối tượng được Miễn NVQS</w:t>
            </w: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r>
      <w:tr w:rsidR="00723957" w:rsidTr="00723957">
        <w:tc>
          <w:tcPr>
            <w:tcW w:w="3116"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r>
              <w:rPr>
                <w:rFonts w:ascii="Times New Roman" w:hAnsi="Times New Roman" w:cs="Times New Roman"/>
              </w:rPr>
              <w:t>Chế độ chính sách</w:t>
            </w: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c>
          <w:tcPr>
            <w:tcW w:w="3117" w:type="dxa"/>
          </w:tcPr>
          <w:p w:rsidR="00723957" w:rsidRDefault="00723957" w:rsidP="00BC1950">
            <w:pPr>
              <w:pStyle w:val="ListParagraph"/>
              <w:tabs>
                <w:tab w:val="left" w:pos="567"/>
              </w:tabs>
              <w:spacing w:line="276" w:lineRule="auto"/>
              <w:ind w:left="0"/>
              <w:jc w:val="both"/>
              <w:rPr>
                <w:rFonts w:ascii="Times New Roman" w:hAnsi="Times New Roman" w:cs="Times New Roman"/>
              </w:rPr>
            </w:pPr>
          </w:p>
        </w:tc>
      </w:tr>
    </w:tbl>
    <w:p w:rsidR="00BC1950" w:rsidRDefault="00BC1950" w:rsidP="00BC1950">
      <w:pPr>
        <w:pStyle w:val="ListParagraph"/>
        <w:tabs>
          <w:tab w:val="left" w:pos="567"/>
        </w:tabs>
        <w:spacing w:line="276" w:lineRule="auto"/>
        <w:ind w:left="0"/>
        <w:jc w:val="both"/>
        <w:rPr>
          <w:rFonts w:ascii="Times New Roman" w:hAnsi="Times New Roman" w:cs="Times New Roman"/>
        </w:rPr>
      </w:pPr>
    </w:p>
    <w:p w:rsidR="00BC1950" w:rsidRPr="00BC1950" w:rsidRDefault="00BC1950" w:rsidP="00BC1950">
      <w:pPr>
        <w:pStyle w:val="ListParagraph"/>
        <w:tabs>
          <w:tab w:val="left" w:pos="567"/>
        </w:tabs>
        <w:spacing w:line="276" w:lineRule="auto"/>
        <w:ind w:left="0"/>
        <w:jc w:val="both"/>
        <w:rPr>
          <w:rFonts w:ascii="Times New Roman" w:hAnsi="Times New Roman" w:cs="Times New Roman"/>
        </w:rPr>
      </w:pPr>
    </w:p>
    <w:sectPr w:rsidR="00BC1950" w:rsidRPr="00BC1950" w:rsidSect="0072270E">
      <w:pgSz w:w="12240" w:h="15840"/>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1B91"/>
    <w:rsid w:val="00012222"/>
    <w:rsid w:val="00017A66"/>
    <w:rsid w:val="00020A00"/>
    <w:rsid w:val="00051491"/>
    <w:rsid w:val="00090776"/>
    <w:rsid w:val="000F3F6E"/>
    <w:rsid w:val="000F6614"/>
    <w:rsid w:val="001D5634"/>
    <w:rsid w:val="001D7CA3"/>
    <w:rsid w:val="00226E00"/>
    <w:rsid w:val="00250D31"/>
    <w:rsid w:val="0025559E"/>
    <w:rsid w:val="0026131A"/>
    <w:rsid w:val="00262188"/>
    <w:rsid w:val="0026788B"/>
    <w:rsid w:val="002C0D80"/>
    <w:rsid w:val="002C3450"/>
    <w:rsid w:val="002C7167"/>
    <w:rsid w:val="002E2998"/>
    <w:rsid w:val="00332BCB"/>
    <w:rsid w:val="003713A7"/>
    <w:rsid w:val="00384BBB"/>
    <w:rsid w:val="0039234F"/>
    <w:rsid w:val="003A46CF"/>
    <w:rsid w:val="003C0E3F"/>
    <w:rsid w:val="003C4CDF"/>
    <w:rsid w:val="003F7260"/>
    <w:rsid w:val="00436B6F"/>
    <w:rsid w:val="00467D75"/>
    <w:rsid w:val="004A57D8"/>
    <w:rsid w:val="004A7F8F"/>
    <w:rsid w:val="004E1B91"/>
    <w:rsid w:val="004F455E"/>
    <w:rsid w:val="004F5EFE"/>
    <w:rsid w:val="00536340"/>
    <w:rsid w:val="00596446"/>
    <w:rsid w:val="005D2D01"/>
    <w:rsid w:val="005F04AF"/>
    <w:rsid w:val="00627FC9"/>
    <w:rsid w:val="006615E3"/>
    <w:rsid w:val="00686BEA"/>
    <w:rsid w:val="0069313A"/>
    <w:rsid w:val="006C416D"/>
    <w:rsid w:val="006D20E2"/>
    <w:rsid w:val="006E7B3C"/>
    <w:rsid w:val="007058C4"/>
    <w:rsid w:val="0072270E"/>
    <w:rsid w:val="00723957"/>
    <w:rsid w:val="0075651C"/>
    <w:rsid w:val="007B2D50"/>
    <w:rsid w:val="008A5382"/>
    <w:rsid w:val="008A7E17"/>
    <w:rsid w:val="008D0403"/>
    <w:rsid w:val="0098532C"/>
    <w:rsid w:val="009B6919"/>
    <w:rsid w:val="009C2802"/>
    <w:rsid w:val="009C6FA1"/>
    <w:rsid w:val="009F4174"/>
    <w:rsid w:val="00A07D0F"/>
    <w:rsid w:val="00A67A7B"/>
    <w:rsid w:val="00AA2736"/>
    <w:rsid w:val="00AA2E16"/>
    <w:rsid w:val="00AB7B12"/>
    <w:rsid w:val="00AD5E6D"/>
    <w:rsid w:val="00B41DC7"/>
    <w:rsid w:val="00B57C04"/>
    <w:rsid w:val="00B6042D"/>
    <w:rsid w:val="00BA4492"/>
    <w:rsid w:val="00BB11F9"/>
    <w:rsid w:val="00BC1950"/>
    <w:rsid w:val="00BC1B1D"/>
    <w:rsid w:val="00C71353"/>
    <w:rsid w:val="00C81C87"/>
    <w:rsid w:val="00CB64F9"/>
    <w:rsid w:val="00CC6B90"/>
    <w:rsid w:val="00CD03CE"/>
    <w:rsid w:val="00CD64E6"/>
    <w:rsid w:val="00D0704B"/>
    <w:rsid w:val="00D23E49"/>
    <w:rsid w:val="00D3033F"/>
    <w:rsid w:val="00D34379"/>
    <w:rsid w:val="00D47CD8"/>
    <w:rsid w:val="00D836BC"/>
    <w:rsid w:val="00D85290"/>
    <w:rsid w:val="00D94757"/>
    <w:rsid w:val="00D9742F"/>
    <w:rsid w:val="00DC5855"/>
    <w:rsid w:val="00E06270"/>
    <w:rsid w:val="00E171E1"/>
    <w:rsid w:val="00E72044"/>
    <w:rsid w:val="00E77888"/>
    <w:rsid w:val="00EC7A54"/>
    <w:rsid w:val="00EF4DFE"/>
    <w:rsid w:val="00F223F1"/>
    <w:rsid w:val="00F33514"/>
    <w:rsid w:val="00F3404A"/>
    <w:rsid w:val="00F96182"/>
    <w:rsid w:val="00F97749"/>
    <w:rsid w:val="00FD25E6"/>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
    <w:name w:val="Unresolved Mention"/>
    <w:basedOn w:val="DefaultParagraphFont"/>
    <w:uiPriority w:val="99"/>
    <w:semiHidden/>
    <w:unhideWhenUsed/>
    <w:rsid w:val="003713A7"/>
    <w:rPr>
      <w:color w:val="605E5C"/>
      <w:shd w:val="clear" w:color="auto" w:fill="E1DFDD"/>
    </w:rPr>
  </w:style>
  <w:style w:type="paragraph" w:styleId="BodyText3">
    <w:name w:val="Body Text 3"/>
    <w:basedOn w:val="Normal"/>
    <w:link w:val="BodyText3Char"/>
    <w:rsid w:val="00BC1950"/>
    <w:pPr>
      <w:spacing w:line="360" w:lineRule="auto"/>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BC195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Linh-vuc-khac/Luat-nghia-vu-quan-su-2015-28238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 pro</cp:lastModifiedBy>
  <cp:revision>2</cp:revision>
  <dcterms:created xsi:type="dcterms:W3CDTF">2021-10-11T06:47:00Z</dcterms:created>
  <dcterms:modified xsi:type="dcterms:W3CDTF">2021-10-11T06:47:00Z</dcterms:modified>
</cp:coreProperties>
</file>